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DAEC0" w14:textId="38C82A4A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50CE5">
        <w:rPr>
          <w:rFonts w:asciiTheme="minorHAnsi" w:hAnsiTheme="minorHAnsi" w:cstheme="minorHAnsi"/>
          <w:b/>
          <w:bCs/>
          <w:sz w:val="28"/>
          <w:szCs w:val="28"/>
        </w:rPr>
        <w:t>TECNOLOGIA AVANZATA PER LA CONTABILIZZAZIONE DEI CONSUMI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AL BUSINESS CENTER DI ISTANBUL</w:t>
      </w:r>
    </w:p>
    <w:p w14:paraId="3412C475" w14:textId="77777777" w:rsidR="00B50CE5" w:rsidRDefault="00B50CE5" w:rsidP="00B50CE5">
      <w:pPr>
        <w:pStyle w:val="Standard"/>
        <w:jc w:val="both"/>
        <w:rPr>
          <w:rFonts w:asciiTheme="minorHAnsi" w:eastAsia="F0" w:hAnsiTheme="minorHAnsi" w:cstheme="minorHAnsi"/>
          <w:i/>
          <w:iCs/>
          <w:sz w:val="21"/>
          <w:szCs w:val="21"/>
        </w:rPr>
      </w:pPr>
    </w:p>
    <w:p w14:paraId="5C851B37" w14:textId="720B3C3C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i/>
          <w:iCs/>
          <w:sz w:val="21"/>
          <w:szCs w:val="21"/>
        </w:rPr>
        <w:t xml:space="preserve">Il sistema </w:t>
      </w:r>
      <w:proofErr w:type="spellStart"/>
      <w:r w:rsidRPr="00B50CE5">
        <w:rPr>
          <w:rFonts w:asciiTheme="minorHAnsi" w:eastAsia="F0" w:hAnsiTheme="minorHAnsi" w:cstheme="minorHAnsi"/>
          <w:i/>
          <w:iCs/>
          <w:sz w:val="21"/>
          <w:szCs w:val="21"/>
        </w:rPr>
        <w:t>Symphonic</w:t>
      </w:r>
      <w:proofErr w:type="spellEnd"/>
      <w:r w:rsidRPr="00B50CE5">
        <w:rPr>
          <w:rFonts w:asciiTheme="minorHAnsi" w:eastAsia="F0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i/>
          <w:iCs/>
          <w:sz w:val="21"/>
          <w:szCs w:val="21"/>
        </w:rPr>
        <w:t>sensor</w:t>
      </w:r>
      <w:proofErr w:type="spellEnd"/>
      <w:r w:rsidRPr="00B50CE5">
        <w:rPr>
          <w:rFonts w:asciiTheme="minorHAnsi" w:eastAsia="F0" w:hAnsiTheme="minorHAnsi" w:cstheme="minorHAnsi"/>
          <w:i/>
          <w:iCs/>
          <w:sz w:val="21"/>
          <w:szCs w:val="21"/>
        </w:rPr>
        <w:t xml:space="preserve"> net </w:t>
      </w:r>
      <w:r w:rsidRPr="00B50CE5">
        <w:rPr>
          <w:rFonts w:asciiTheme="minorHAnsi" w:eastAsia="F0" w:hAnsiTheme="minorHAnsi" w:cstheme="minorHAnsi"/>
          <w:i/>
          <w:iCs/>
          <w:sz w:val="21"/>
          <w:szCs w:val="21"/>
        </w:rPr>
        <w:t xml:space="preserve">di ista </w:t>
      </w:r>
      <w:r w:rsidRPr="00B50CE5">
        <w:rPr>
          <w:rFonts w:asciiTheme="minorHAnsi" w:eastAsia="F0" w:hAnsiTheme="minorHAnsi" w:cstheme="minorHAnsi"/>
          <w:i/>
          <w:iCs/>
          <w:sz w:val="21"/>
          <w:szCs w:val="21"/>
        </w:rPr>
        <w:t>al servizio di un importante centro direzionale turco conferma la leadership di ista nelle soluzioni digitali per la contabilizzazione dei consumi di calore e acqua</w:t>
      </w:r>
    </w:p>
    <w:p w14:paraId="7971F3A1" w14:textId="77777777" w:rsidR="00B50CE5" w:rsidRPr="00B50CE5" w:rsidRDefault="00B50CE5" w:rsidP="00B50CE5">
      <w:pPr>
        <w:pStyle w:val="Standard"/>
        <w:jc w:val="both"/>
        <w:rPr>
          <w:rFonts w:asciiTheme="minorHAnsi" w:eastAsia="F0" w:hAnsiTheme="minorHAnsi" w:cstheme="minorHAnsi"/>
        </w:rPr>
      </w:pPr>
    </w:p>
    <w:p w14:paraId="239C61D9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Perpa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Ticaret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Merkezi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è un enorme business center – il più grande della Turchia, situato a Istanbul, un paio di km a nord dello storico quartiere di Galata. I circa 660.000 m</w:t>
      </w:r>
      <w:r w:rsidRPr="00B50CE5">
        <w:rPr>
          <w:rFonts w:asciiTheme="minorHAnsi" w:eastAsia="F0" w:hAnsiTheme="minorHAnsi" w:cstheme="minorHAnsi"/>
          <w:sz w:val="21"/>
          <w:szCs w:val="21"/>
          <w:vertAlign w:val="superscript"/>
        </w:rPr>
        <w:t>2</w:t>
      </w:r>
      <w:r w:rsidRPr="00B50CE5">
        <w:rPr>
          <w:rFonts w:asciiTheme="minorHAnsi" w:eastAsia="F0" w:hAnsiTheme="minorHAnsi" w:cstheme="minorHAnsi"/>
          <w:sz w:val="21"/>
          <w:szCs w:val="21"/>
        </w:rPr>
        <w:t xml:space="preserve"> di superficie sono frequentati ogni giorno da non meno di 25.000 persone.</w:t>
      </w:r>
    </w:p>
    <w:p w14:paraId="41628D23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>Recentemente, la consociata turca del gruppo ista ha completato la posa di un evoluto sistema di contabilizzazione dei consumi per riscaldamento e raffrescamento. L’intervento ha interessato uno dei due blocchi che compongono il business center (330.000 m</w:t>
      </w:r>
      <w:r w:rsidRPr="00B50CE5">
        <w:rPr>
          <w:rFonts w:asciiTheme="minorHAnsi" w:eastAsia="F0" w:hAnsiTheme="minorHAnsi" w:cstheme="minorHAnsi"/>
          <w:sz w:val="21"/>
          <w:szCs w:val="21"/>
          <w:vertAlign w:val="superscript"/>
        </w:rPr>
        <w:t>2</w:t>
      </w:r>
      <w:r w:rsidRPr="00B50CE5">
        <w:rPr>
          <w:rFonts w:asciiTheme="minorHAnsi" w:eastAsia="F0" w:hAnsiTheme="minorHAnsi" w:cstheme="minorHAnsi"/>
          <w:sz w:val="21"/>
          <w:szCs w:val="21"/>
        </w:rPr>
        <w:t>), nel quale hanno sede circa 2.500 imprese commerciali.</w:t>
      </w:r>
    </w:p>
    <w:p w14:paraId="7CCD403E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 xml:space="preserve">Oltre alla corretta attribuzione dei costi sulla base dei consumi effettivi, l’intervento aveva come obiettivo la riduzione dei consumi energetici. I sistemi </w:t>
      </w:r>
      <w:proofErr w:type="gramStart"/>
      <w:r w:rsidRPr="00B50CE5">
        <w:rPr>
          <w:rFonts w:asciiTheme="minorHAnsi" w:eastAsia="F0" w:hAnsiTheme="minorHAnsi" w:cstheme="minorHAnsi"/>
          <w:sz w:val="21"/>
          <w:szCs w:val="21"/>
        </w:rPr>
        <w:t>ista</w:t>
      </w:r>
      <w:proofErr w:type="gramEnd"/>
      <w:r w:rsidRPr="00B50CE5">
        <w:rPr>
          <w:rFonts w:asciiTheme="minorHAnsi" w:eastAsia="F0" w:hAnsiTheme="minorHAnsi" w:cstheme="minorHAnsi"/>
          <w:sz w:val="21"/>
          <w:szCs w:val="21"/>
        </w:rPr>
        <w:t>, infatti, sono concepiti per permettere agli utenti di conoscere i propri consumi, stimolando così un uso più efficiente e consapevole dell’impianto di climatizzazione.</w:t>
      </w:r>
    </w:p>
    <w:p w14:paraId="69268421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 xml:space="preserve">Entrambi i risultati sono stati raggiunti con successo: “Prima dell’installazione del sistema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Symphonic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sensor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net, i costi erano suddivisi sulla base del numero di posti di lavoro di ciascun utente - afferma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Mert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Aǧar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,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Operation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Manager ista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Turkey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Energy Services.</w:t>
      </w:r>
    </w:p>
    <w:p w14:paraId="05A7DEB4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 xml:space="preserve">Ci siamo aggiudicati la commessa grazie all’innovativo sistema radio ista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Symphonic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sensor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net, che garantisce rapidità, accuratezza e flessibilità nella contabilizzazione dei consumi di calore e acqua, consentendo la realizzazione di soluzioni personalizzate per ogni esigenza.</w:t>
      </w:r>
    </w:p>
    <w:p w14:paraId="14174469" w14:textId="77777777" w:rsidR="00B50CE5" w:rsidRPr="00B50CE5" w:rsidRDefault="00B50CE5" w:rsidP="00B50CE5">
      <w:pPr>
        <w:pStyle w:val="Standard"/>
        <w:jc w:val="both"/>
        <w:rPr>
          <w:rFonts w:asciiTheme="minorHAnsi" w:eastAsia="F0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>Indipendentemente dall’età, dalle dimensioni e dalla conformazione di una costruzione, i dati rilevati da ripartitori e contatori sono trasmessi via radio alla centralina, senza la necessità di una visita in loco di un addetto, e sono poi trasmessi a ista per i conteggi.</w:t>
      </w:r>
    </w:p>
    <w:p w14:paraId="5BA81947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 xml:space="preserve">Oggi, grazie ai nuovi contatori collegati via radio in modalità bidirezionale, ogni singolo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tenant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dispone delle informazioni sui propri consumi e, per effetto della maggiore responsabilizzazione degli utenti, le spese per la climatizzazione si sono notevolmente ridotte: in media del 25%, con punte del 32%.”</w:t>
      </w:r>
    </w:p>
    <w:p w14:paraId="5ADEAE47" w14:textId="77777777" w:rsidR="00B50CE5" w:rsidRPr="00B50CE5" w:rsidRDefault="00B50CE5" w:rsidP="00B50CE5">
      <w:pPr>
        <w:pStyle w:val="Standard"/>
        <w:jc w:val="both"/>
        <w:rPr>
          <w:rFonts w:asciiTheme="minorHAnsi" w:eastAsia="F0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>ista è in grado di proporre sempre la soluzione più adatta per ogni tipologia di edificio, supportandola con la tecnologia più avanzata del settore.</w:t>
      </w:r>
    </w:p>
    <w:p w14:paraId="2BD0D2CE" w14:textId="77777777" w:rsidR="00B50CE5" w:rsidRPr="00B50CE5" w:rsidRDefault="00B50CE5" w:rsidP="00B50CE5">
      <w:pPr>
        <w:pStyle w:val="Standard"/>
        <w:jc w:val="both"/>
        <w:rPr>
          <w:rFonts w:asciiTheme="minorHAnsi" w:eastAsia="F0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 xml:space="preserve">“Nel caso di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Perpa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Ticaret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Merkeziil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– riprende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Mert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Aǧar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– il sistema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Symphonic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sensor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net con tecnologia RF + GSM mette in comunicazione via radio tutti i 4.807 contatori della linea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Sensonic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con la centralina, che si occupa della raccolta e dell’invio dei dati a ista, senza bisogno di alcun cablaggio.</w:t>
      </w:r>
    </w:p>
    <w:p w14:paraId="0533E9BA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>Abbiamo così evitato di posare una nuova rete m-bus lunga circa 38 km, per collegare via cavo i nuovi dispositivi, riducendo tempi e costi di realizzazione e rispondendo a tutti i requisiti imposti dal committente, praticamente senza alcun disturbo per le attività degli utenti.</w:t>
      </w:r>
    </w:p>
    <w:p w14:paraId="339A4396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>Dovendo inserire migliaia di nuovi contatori sulle linee esistenti, è stata effettuata una mappatura precisa e completa delle reti di distribuzione, prevedendo anche la posa dei componenti per le attività di ispezione e manutenzione. Mentre procedeva l’installazione abbiamo progressivamente implementato lettura e segnalazione in remoto.</w:t>
      </w:r>
    </w:p>
    <w:p w14:paraId="401FA21E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 xml:space="preserve">L’efficienza del servizio ha poi fatto la differenza. La tecnologia RF + GSM di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Symphonic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sensor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net comunica i dati in remoto in modo estremamente rapido, permettendoci di effettuare controlli e interventi proattivi, per risolvere eventuali anomalie prima che si traducano in un danno economico.”</w:t>
      </w:r>
    </w:p>
    <w:p w14:paraId="189B1D76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>Con i sistemi ista, solo gli amministratori o i gestori addetti alla contabilizzazione possono controllare i valori di consumo, senza pregiudizio per la privacy degli utenti, che ricevono informazioni trasparenti e utili, anche per comprendere quali azioni intraprendere per coniugare comfort e risparmio.</w:t>
      </w:r>
    </w:p>
    <w:p w14:paraId="11C5F310" w14:textId="77777777" w:rsidR="00B50CE5" w:rsidRPr="00B50CE5" w:rsidRDefault="00B50CE5" w:rsidP="00B50CE5">
      <w:pPr>
        <w:pStyle w:val="Standard"/>
        <w:jc w:val="both"/>
        <w:rPr>
          <w:rFonts w:asciiTheme="minorHAnsi" w:hAnsiTheme="minorHAnsi" w:cstheme="minorHAnsi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 xml:space="preserve">Il sistema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Symphonic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Sensor Net è integrato nei dispositivi forniti in comodato d’uso, perciò non si acquista nulla. Tutti gli apparecchi ista funzionano indipendentemente dalle reti elettrica e dati, senza costi aggiuntivi. Il team ista verifica costantemente eventuali errori o manomissioni, intervenendo pro-attivamente per risolvere ogni problematica.</w:t>
      </w:r>
    </w:p>
    <w:p w14:paraId="0989866A" w14:textId="216FD3C0" w:rsidR="00B51709" w:rsidRPr="00B50CE5" w:rsidRDefault="00B50CE5" w:rsidP="00B50CE5">
      <w:pPr>
        <w:pStyle w:val="Standard"/>
        <w:jc w:val="both"/>
        <w:rPr>
          <w:color w:val="000000" w:themeColor="text1"/>
          <w:sz w:val="21"/>
          <w:szCs w:val="21"/>
        </w:rPr>
      </w:pPr>
      <w:r w:rsidRPr="00B50CE5">
        <w:rPr>
          <w:rFonts w:asciiTheme="minorHAnsi" w:eastAsia="F0" w:hAnsiTheme="minorHAnsi" w:cstheme="minorHAnsi"/>
          <w:sz w:val="21"/>
          <w:szCs w:val="21"/>
        </w:rPr>
        <w:t xml:space="preserve">Tutti gli apparecchi </w:t>
      </w:r>
      <w:proofErr w:type="gramStart"/>
      <w:r w:rsidRPr="00B50CE5">
        <w:rPr>
          <w:rFonts w:asciiTheme="minorHAnsi" w:eastAsia="F0" w:hAnsiTheme="minorHAnsi" w:cstheme="minorHAnsi"/>
          <w:sz w:val="21"/>
          <w:szCs w:val="21"/>
        </w:rPr>
        <w:t>ista</w:t>
      </w:r>
      <w:proofErr w:type="gramEnd"/>
      <w:r w:rsidRPr="00B50CE5">
        <w:rPr>
          <w:rFonts w:asciiTheme="minorHAnsi" w:eastAsia="F0" w:hAnsiTheme="minorHAnsi" w:cstheme="minorHAnsi"/>
          <w:sz w:val="21"/>
          <w:szCs w:val="21"/>
        </w:rPr>
        <w:t xml:space="preserve"> (ripartitori, contatori, centraline) rispettano le attuali normative in materia di emissioni elettro-magnetiche: la trasmissione è normalmente disattivata e si attiva solo quando necessario, per periodi molto brevi (10 millisecondi). La frequenza di comunicazione via radio è di 868 MHz, con una potenza molto bassa (meno di 10 </w:t>
      </w:r>
      <w:proofErr w:type="spellStart"/>
      <w:r w:rsidRPr="00B50CE5">
        <w:rPr>
          <w:rFonts w:asciiTheme="minorHAnsi" w:eastAsia="F0" w:hAnsiTheme="minorHAnsi" w:cstheme="minorHAnsi"/>
          <w:sz w:val="21"/>
          <w:szCs w:val="21"/>
        </w:rPr>
        <w:t>mW</w:t>
      </w:r>
      <w:proofErr w:type="spellEnd"/>
      <w:r w:rsidRPr="00B50CE5">
        <w:rPr>
          <w:rFonts w:asciiTheme="minorHAnsi" w:eastAsia="F0" w:hAnsiTheme="minorHAnsi" w:cstheme="minorHAnsi"/>
          <w:sz w:val="21"/>
          <w:szCs w:val="21"/>
        </w:rPr>
        <w:t>).</w:t>
      </w:r>
    </w:p>
    <w:sectPr w:rsidR="00B51709" w:rsidRPr="00B50CE5" w:rsidSect="00FB281F">
      <w:headerReference w:type="default" r:id="rId6"/>
      <w:footerReference w:type="default" r:id="rId7"/>
      <w:pgSz w:w="11906" w:h="16838"/>
      <w:pgMar w:top="1417" w:right="1134" w:bottom="1134" w:left="1134" w:header="406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893A0" w14:textId="77777777" w:rsidR="002C1A75" w:rsidRDefault="002C1A75" w:rsidP="00FB281F">
      <w:r>
        <w:separator/>
      </w:r>
    </w:p>
  </w:endnote>
  <w:endnote w:type="continuationSeparator" w:id="0">
    <w:p w14:paraId="63D77AC8" w14:textId="77777777" w:rsidR="002C1A75" w:rsidRDefault="002C1A75" w:rsidP="00FB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Calibri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Liberation Mono">
    <w:altName w:val="Calibri"/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0">
    <w:panose1 w:val="020B0604020202020204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D28F5" w14:textId="77777777" w:rsidR="00FB281F" w:rsidRDefault="00FB281F" w:rsidP="00FB281F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B382B">
      <w:rPr>
        <w:rFonts w:asciiTheme="majorHAnsi" w:hAnsiTheme="majorHAnsi"/>
        <w:b/>
        <w:color w:val="808080" w:themeColor="background1" w:themeShade="80"/>
        <w:sz w:val="16"/>
        <w:szCs w:val="16"/>
      </w:rPr>
      <w:t>ista Italia s.r.l.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 Via R. Lepetit, 40 - 20020 Lainate (MI) - info.italia@ista.com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Sede di </w:t>
    </w:r>
    <w:r w:rsidRPr="00564007">
      <w:rPr>
        <w:rFonts w:asciiTheme="majorHAnsi" w:hAnsiTheme="majorHAnsi"/>
        <w:color w:val="808080" w:themeColor="background1" w:themeShade="80"/>
        <w:sz w:val="16"/>
        <w:szCs w:val="16"/>
      </w:rPr>
      <w:t xml:space="preserve">Roma: Viale C. </w:t>
    </w:r>
    <w:proofErr w:type="spellStart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Marx</w:t>
    </w:r>
    <w:proofErr w:type="spellEnd"/>
    <w:r w:rsidRPr="00564007">
      <w:rPr>
        <w:rFonts w:asciiTheme="majorHAnsi" w:hAnsiTheme="majorHAnsi"/>
        <w:color w:val="808080" w:themeColor="background1" w:themeShade="80"/>
        <w:sz w:val="16"/>
        <w:szCs w:val="16"/>
      </w:rPr>
      <w:t>, 135/2 - 00137 Roma ph. +39 06 5947411</w:t>
    </w:r>
  </w:p>
  <w:p w14:paraId="6CC5B484" w14:textId="64C08310" w:rsidR="00FB281F" w:rsidRPr="00FB281F" w:rsidRDefault="00FB281F">
    <w:pPr>
      <w:pStyle w:val="Pidipagina"/>
      <w:rPr>
        <w:rFonts w:asciiTheme="majorHAnsi" w:hAnsiTheme="majorHAnsi"/>
        <w:color w:val="808080" w:themeColor="background1" w:themeShade="80"/>
        <w:sz w:val="16"/>
        <w:szCs w:val="16"/>
      </w:rPr>
    </w:pP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Ufficio Stamp</w:t>
    </w:r>
    <w:r>
      <w:rPr>
        <w:rFonts w:asciiTheme="majorHAnsi" w:hAnsiTheme="majorHAnsi"/>
        <w:b/>
        <w:color w:val="808080" w:themeColor="background1" w:themeShade="80"/>
        <w:sz w:val="16"/>
        <w:szCs w:val="16"/>
      </w:rPr>
      <w:t>a Itali</w:t>
    </w:r>
    <w:r w:rsidRPr="006452CD">
      <w:rPr>
        <w:rFonts w:asciiTheme="majorHAnsi" w:hAnsiTheme="majorHAnsi"/>
        <w:b/>
        <w:color w:val="808080" w:themeColor="background1" w:themeShade="80"/>
        <w:sz w:val="16"/>
        <w:szCs w:val="16"/>
      </w:rPr>
      <w:t>a</w:t>
    </w:r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: tac comunic@zione </w:t>
    </w:r>
    <w:proofErr w:type="spellStart"/>
    <w:r>
      <w:rPr>
        <w:rFonts w:asciiTheme="majorHAnsi" w:hAnsiTheme="majorHAnsi"/>
        <w:color w:val="808080" w:themeColor="background1" w:themeShade="80"/>
        <w:sz w:val="16"/>
        <w:szCs w:val="16"/>
      </w:rPr>
      <w:t>Milano|Genova</w:t>
    </w:r>
    <w:proofErr w:type="spellEnd"/>
    <w:r>
      <w:rPr>
        <w:rFonts w:asciiTheme="majorHAnsi" w:hAnsiTheme="majorHAnsi"/>
        <w:color w:val="808080" w:themeColor="background1" w:themeShade="80"/>
        <w:sz w:val="16"/>
        <w:szCs w:val="16"/>
      </w:rPr>
      <w:t xml:space="preserve"> - press@taconline.it - ph. +39 02 48517618 -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30FA4" w14:textId="77777777" w:rsidR="002C1A75" w:rsidRDefault="002C1A75" w:rsidP="00FB281F">
      <w:r>
        <w:separator/>
      </w:r>
    </w:p>
  </w:footnote>
  <w:footnote w:type="continuationSeparator" w:id="0">
    <w:p w14:paraId="65DA5045" w14:textId="77777777" w:rsidR="002C1A75" w:rsidRDefault="002C1A75" w:rsidP="00FB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8B9D5" w14:textId="5C7745A8" w:rsidR="00FB281F" w:rsidRDefault="00FB281F">
    <w:pPr>
      <w:pStyle w:val="Intestazione"/>
    </w:pPr>
    <w:r>
      <w:rPr>
        <w:rFonts w:ascii="Arial" w:hAnsi="Arial" w:cs="Arial"/>
        <w:noProof/>
        <w:color w:val="000000" w:themeColor="text1"/>
        <w:lang w:eastAsia="it-IT" w:bidi="ar-SA"/>
      </w:rPr>
      <w:drawing>
        <wp:inline distT="0" distB="0" distL="0" distR="0" wp14:anchorId="66B83098" wp14:editId="17E3A6DC">
          <wp:extent cx="939800" cy="402772"/>
          <wp:effectExtent l="0" t="0" r="0" b="381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076" cy="40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1F"/>
    <w:rsid w:val="00046D11"/>
    <w:rsid w:val="0020140F"/>
    <w:rsid w:val="00254A5A"/>
    <w:rsid w:val="002C1A75"/>
    <w:rsid w:val="00472C50"/>
    <w:rsid w:val="004A2940"/>
    <w:rsid w:val="0053052E"/>
    <w:rsid w:val="00743C61"/>
    <w:rsid w:val="00816D38"/>
    <w:rsid w:val="00B13FB3"/>
    <w:rsid w:val="00B50CE5"/>
    <w:rsid w:val="00B51709"/>
    <w:rsid w:val="00B96269"/>
    <w:rsid w:val="00CA6B55"/>
    <w:rsid w:val="00D403BF"/>
    <w:rsid w:val="00E21FE9"/>
    <w:rsid w:val="00F272A7"/>
    <w:rsid w:val="00F82F6F"/>
    <w:rsid w:val="00F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782"/>
  <w15:chartTrackingRefBased/>
  <w15:docId w15:val="{F1239F80-07FF-0A47-AFBB-DB0ED14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81F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B281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reformattedText">
    <w:name w:val="Preformatted Text"/>
    <w:basedOn w:val="Standard"/>
    <w:rsid w:val="00FB281F"/>
    <w:rPr>
      <w:rFonts w:ascii="Liberation Mono" w:eastAsia="Courier New" w:hAnsi="Liberation Mono" w:cs="Liberation Mono"/>
    </w:rPr>
  </w:style>
  <w:style w:type="paragraph" w:styleId="Intestazione">
    <w:name w:val="header"/>
    <w:basedOn w:val="Normale"/>
    <w:link w:val="IntestazioneCarattere"/>
    <w:uiPriority w:val="99"/>
    <w:unhideWhenUsed/>
    <w:rsid w:val="00FB281F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81F"/>
    <w:rPr>
      <w:rFonts w:ascii="Times New Roman" w:eastAsia="WenQuanYi Micro Hei" w:hAnsi="Times New Roman" w:cs="Mangal"/>
      <w:kern w:val="3"/>
      <w:sz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B281F"/>
    <w:pPr>
      <w:tabs>
        <w:tab w:val="center" w:pos="4819"/>
        <w:tab w:val="right" w:pos="9638"/>
      </w:tabs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81F"/>
    <w:rPr>
      <w:rFonts w:ascii="Times New Roman" w:eastAsia="WenQuanYi Micro Hei" w:hAnsi="Times New Roman" w:cs="Mangal"/>
      <w:kern w:val="3"/>
      <w:sz w:val="21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F82F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2F6F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2F6F"/>
    <w:rPr>
      <w:rFonts w:ascii="Times New Roman" w:eastAsia="WenQuanYi Micro Hei" w:hAnsi="Times New Roman" w:cs="Mangal"/>
      <w:kern w:val="3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2F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2F6F"/>
    <w:rPr>
      <w:rFonts w:ascii="Times New Roman" w:eastAsia="WenQuanYi Micro Hei" w:hAnsi="Times New Roman" w:cs="Mangal"/>
      <w:b/>
      <w:bCs/>
      <w:kern w:val="3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F6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F6F"/>
    <w:rPr>
      <w:rFonts w:ascii="Segoe UI" w:eastAsia="WenQuanYi Micro He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4017</Characters>
  <Application>Microsoft Office Word</Application>
  <DocSecurity>0</DocSecurity>
  <Lines>50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2021-04-21T10:38:00Z</dcterms:created>
  <dcterms:modified xsi:type="dcterms:W3CDTF">2021-04-21T10:38:00Z</dcterms:modified>
</cp:coreProperties>
</file>