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C7978" w14:textId="77777777" w:rsidR="00607955" w:rsidRPr="00607955" w:rsidRDefault="00607955" w:rsidP="00607955">
      <w:pPr>
        <w:jc w:val="both"/>
        <w:rPr>
          <w:b/>
          <w:bCs/>
          <w:sz w:val="24"/>
        </w:rPr>
      </w:pPr>
      <w:r w:rsidRPr="00607955">
        <w:rPr>
          <w:b/>
          <w:bCs/>
          <w:sz w:val="24"/>
        </w:rPr>
        <w:t>EFFICIENZA E PRECISIONE PER LA CONTABILIZZAZIONE DEI CONSUMI</w:t>
      </w:r>
    </w:p>
    <w:p w14:paraId="5F1CB647" w14:textId="77777777" w:rsidR="00607955" w:rsidRPr="00607955" w:rsidRDefault="00607955" w:rsidP="00607955">
      <w:pPr>
        <w:jc w:val="both"/>
        <w:rPr>
          <w:rFonts w:eastAsia="F0"/>
          <w:sz w:val="22"/>
          <w:szCs w:val="22"/>
        </w:rPr>
      </w:pPr>
    </w:p>
    <w:p w14:paraId="6B8998C8" w14:textId="77777777" w:rsidR="00607955" w:rsidRPr="00607955" w:rsidRDefault="00607955" w:rsidP="00607955">
      <w:pPr>
        <w:jc w:val="both"/>
        <w:rPr>
          <w:rFonts w:eastAsia="F0"/>
          <w:i/>
          <w:iCs/>
          <w:sz w:val="22"/>
          <w:szCs w:val="22"/>
        </w:rPr>
      </w:pPr>
      <w:r w:rsidRPr="00607955">
        <w:rPr>
          <w:rFonts w:eastAsia="F0"/>
          <w:i/>
          <w:iCs/>
          <w:sz w:val="22"/>
          <w:szCs w:val="22"/>
        </w:rPr>
        <w:t>La competenza, la tecnologia e la professionalità di ista fanno la differenza nelle delicate procedure di misura, contabilizzazione, fatturazione e assistenza agli utenti, ovunque nel mondo.</w:t>
      </w:r>
    </w:p>
    <w:p w14:paraId="18B72C71" w14:textId="77777777" w:rsidR="00607955" w:rsidRPr="00607955" w:rsidRDefault="00607955" w:rsidP="00607955">
      <w:pPr>
        <w:jc w:val="both"/>
        <w:rPr>
          <w:rFonts w:eastAsia="F0"/>
          <w:sz w:val="22"/>
          <w:szCs w:val="22"/>
        </w:rPr>
      </w:pPr>
    </w:p>
    <w:p w14:paraId="4630A139" w14:textId="77777777" w:rsidR="00607955" w:rsidRPr="00607955" w:rsidRDefault="00607955" w:rsidP="00607955">
      <w:pPr>
        <w:jc w:val="both"/>
        <w:rPr>
          <w:sz w:val="22"/>
          <w:szCs w:val="22"/>
        </w:rPr>
      </w:pPr>
      <w:r w:rsidRPr="00607955">
        <w:rPr>
          <w:rFonts w:eastAsia="F0"/>
          <w:sz w:val="22"/>
          <w:szCs w:val="22"/>
        </w:rPr>
        <w:t>Città simbolo della globalizzazione, Dubai è una metropoli in rapida crescita demografica e urbanistica. Decine di grattacieli alti centinaia di metri dominano uno skyline in costante mutamento, che si espande verso il Deserto arabico e, mediante imponenti isole artificiali, lungo la costa del Golfo Persico.</w:t>
      </w:r>
    </w:p>
    <w:p w14:paraId="52A5EE0F" w14:textId="53D02524" w:rsidR="00607955" w:rsidRPr="00607955" w:rsidRDefault="00607955" w:rsidP="00607955">
      <w:pPr>
        <w:jc w:val="both"/>
        <w:rPr>
          <w:sz w:val="22"/>
          <w:szCs w:val="22"/>
        </w:rPr>
      </w:pPr>
      <w:r w:rsidRPr="00607955">
        <w:rPr>
          <w:rFonts w:eastAsia="F0"/>
          <w:sz w:val="22"/>
          <w:szCs w:val="22"/>
        </w:rPr>
        <w:t>Anche il mercato immobiliare è estremamente dinamico. La casa è infatti considerata come un vero e proprio servizio,</w:t>
      </w:r>
      <w:r>
        <w:rPr>
          <w:rFonts w:eastAsia="F0"/>
          <w:sz w:val="22"/>
          <w:szCs w:val="22"/>
        </w:rPr>
        <w:t xml:space="preserve"> </w:t>
      </w:r>
      <w:r w:rsidRPr="00607955">
        <w:rPr>
          <w:rFonts w:eastAsia="F0"/>
          <w:sz w:val="22"/>
          <w:szCs w:val="22"/>
        </w:rPr>
        <w:t>perciò le società immobiliari che finanziano la costruzione dei nuovi complessi residenziali si occupano anche della loro gestione, che diventa così un aspetto molto importante nella scelta della propria abitazione.</w:t>
      </w:r>
    </w:p>
    <w:p w14:paraId="42AA93EF" w14:textId="77777777" w:rsidR="00607955" w:rsidRPr="00607955" w:rsidRDefault="00607955" w:rsidP="00607955">
      <w:pPr>
        <w:pStyle w:val="Intestazione"/>
        <w:tabs>
          <w:tab w:val="clear" w:pos="4819"/>
          <w:tab w:val="clear" w:pos="9638"/>
        </w:tabs>
        <w:jc w:val="both"/>
        <w:rPr>
          <w:sz w:val="22"/>
          <w:szCs w:val="22"/>
        </w:rPr>
      </w:pPr>
      <w:r w:rsidRPr="00607955">
        <w:rPr>
          <w:rFonts w:eastAsia="F0"/>
          <w:sz w:val="22"/>
          <w:szCs w:val="22"/>
        </w:rPr>
        <w:t>NSHAMA è fra le società di maggiore successo e Town Square Dubai è il suo fiore all’occhiello. Ampia poco meno di 3 km</w:t>
      </w:r>
      <w:r w:rsidRPr="00607955">
        <w:rPr>
          <w:rFonts w:eastAsia="F0"/>
          <w:sz w:val="22"/>
          <w:szCs w:val="22"/>
          <w:vertAlign w:val="superscript"/>
        </w:rPr>
        <w:t>2</w:t>
      </w:r>
      <w:r w:rsidRPr="00607955">
        <w:rPr>
          <w:rFonts w:eastAsia="F0"/>
          <w:sz w:val="22"/>
          <w:szCs w:val="22"/>
        </w:rPr>
        <w:t xml:space="preserve">, la nuova urbanizzazione comprende circa 18.000 abitazioni fra villette </w:t>
      </w:r>
      <w:proofErr w:type="gramStart"/>
      <w:r w:rsidRPr="00607955">
        <w:rPr>
          <w:rFonts w:eastAsia="F0"/>
          <w:sz w:val="22"/>
          <w:szCs w:val="22"/>
        </w:rPr>
        <w:t>ed</w:t>
      </w:r>
      <w:proofErr w:type="gramEnd"/>
      <w:r w:rsidRPr="00607955">
        <w:rPr>
          <w:rFonts w:eastAsia="F0"/>
          <w:sz w:val="22"/>
          <w:szCs w:val="22"/>
        </w:rPr>
        <w:t xml:space="preserve"> edifici pluripiano, dotate di</w:t>
      </w:r>
      <w:r w:rsidRPr="00607955">
        <w:rPr>
          <w:rFonts w:eastAsia="F0"/>
          <w:color w:val="000000"/>
          <w:sz w:val="22"/>
          <w:szCs w:val="22"/>
        </w:rPr>
        <w:t xml:space="preserve"> serviz</w:t>
      </w:r>
      <w:r w:rsidRPr="00607955">
        <w:rPr>
          <w:rFonts w:eastAsia="F0"/>
          <w:sz w:val="22"/>
          <w:szCs w:val="22"/>
        </w:rPr>
        <w:t>i e negozi di vicinato, parchi e aree per eventi collettivi, alberghi e impianti sportivi.</w:t>
      </w:r>
    </w:p>
    <w:p w14:paraId="24FA138A" w14:textId="77777777" w:rsidR="00607955" w:rsidRPr="00607955" w:rsidRDefault="00607955" w:rsidP="00607955">
      <w:pPr>
        <w:pStyle w:val="Intestazione"/>
        <w:tabs>
          <w:tab w:val="clear" w:pos="4819"/>
          <w:tab w:val="clear" w:pos="9638"/>
        </w:tabs>
        <w:jc w:val="both"/>
        <w:rPr>
          <w:sz w:val="22"/>
          <w:szCs w:val="22"/>
        </w:rPr>
      </w:pPr>
      <w:r w:rsidRPr="00607955">
        <w:rPr>
          <w:rFonts w:eastAsia="F0"/>
          <w:sz w:val="22"/>
          <w:szCs w:val="22"/>
        </w:rPr>
        <w:t xml:space="preserve">Recentemente NSHAMA ha affidato a ista l’intero servizio di contabilizzazione del raffrescamento per le utenze di Town Square Dubai. L’outsourcing ha superato in modo rapido ed efficace le difficoltà di ordine tecnico, amministrativo e legale incontrate </w:t>
      </w:r>
      <w:proofErr w:type="gramStart"/>
      <w:r w:rsidRPr="00607955">
        <w:rPr>
          <w:rFonts w:eastAsia="F0"/>
          <w:sz w:val="22"/>
          <w:szCs w:val="22"/>
        </w:rPr>
        <w:t>del team interno</w:t>
      </w:r>
      <w:proofErr w:type="gramEnd"/>
      <w:r w:rsidRPr="00607955">
        <w:rPr>
          <w:rFonts w:eastAsia="F0"/>
          <w:sz w:val="22"/>
          <w:szCs w:val="22"/>
        </w:rPr>
        <w:t xml:space="preserve"> alla società, che </w:t>
      </w:r>
      <w:r w:rsidRPr="00607955">
        <w:rPr>
          <w:rFonts w:eastAsia="F0"/>
          <w:color w:val="000000"/>
          <w:sz w:val="22"/>
          <w:szCs w:val="22"/>
        </w:rPr>
        <w:t>non soddisfaceva più le aspettative degli utenti.</w:t>
      </w:r>
    </w:p>
    <w:p w14:paraId="28CC5533" w14:textId="77777777" w:rsidR="00607955" w:rsidRPr="00607955" w:rsidRDefault="00607955" w:rsidP="00607955">
      <w:pPr>
        <w:pStyle w:val="Intestazione"/>
        <w:tabs>
          <w:tab w:val="clear" w:pos="4819"/>
          <w:tab w:val="clear" w:pos="9638"/>
        </w:tabs>
        <w:jc w:val="both"/>
        <w:rPr>
          <w:sz w:val="22"/>
          <w:szCs w:val="22"/>
        </w:rPr>
      </w:pPr>
      <w:r w:rsidRPr="00607955">
        <w:rPr>
          <w:rFonts w:eastAsia="F0"/>
          <w:sz w:val="22"/>
          <w:szCs w:val="22"/>
        </w:rPr>
        <w:t>A Dubai, infatti, il comfort termoigrometrico è una concreta necessità per la vita quotidiana: il clima della città è particolarmente caldo e afoso, con temperature medie superiori a 30 °C e umidità relativa superiore al 60% da metà maggio a metà novembre.</w:t>
      </w:r>
    </w:p>
    <w:p w14:paraId="41ED449E" w14:textId="77777777" w:rsidR="00607955" w:rsidRPr="00607955" w:rsidRDefault="00607955" w:rsidP="00607955">
      <w:pPr>
        <w:pStyle w:val="Intestazione"/>
        <w:tabs>
          <w:tab w:val="clear" w:pos="4819"/>
          <w:tab w:val="clear" w:pos="9638"/>
        </w:tabs>
        <w:jc w:val="both"/>
        <w:rPr>
          <w:sz w:val="22"/>
          <w:szCs w:val="22"/>
        </w:rPr>
      </w:pPr>
      <w:r w:rsidRPr="00607955">
        <w:rPr>
          <w:rFonts w:eastAsia="F0"/>
          <w:sz w:val="22"/>
          <w:szCs w:val="22"/>
        </w:rPr>
        <w:t xml:space="preserve">ista – leader mondiale nei servizi di contabilizzazione dei consumi termici – ha </w:t>
      </w:r>
      <w:proofErr w:type="gramStart"/>
      <w:r w:rsidRPr="00607955">
        <w:rPr>
          <w:rFonts w:eastAsia="F0"/>
          <w:sz w:val="22"/>
          <w:szCs w:val="22"/>
        </w:rPr>
        <w:t>messo in campo</w:t>
      </w:r>
      <w:proofErr w:type="gramEnd"/>
      <w:r w:rsidRPr="00607955">
        <w:rPr>
          <w:rFonts w:eastAsia="F0"/>
          <w:sz w:val="22"/>
          <w:szCs w:val="22"/>
        </w:rPr>
        <w:t xml:space="preserve"> tutta la competenza, la tecnologia e la professionalità sviluppate in decenni di specializzazione, che l’hanno resa il punto di riferimento per oltre 13 milioni di utenti, con più di 60 milioni di dispositivi installati di cui 28 milioni connessi.</w:t>
      </w:r>
    </w:p>
    <w:p w14:paraId="466E38FD" w14:textId="77777777" w:rsidR="00607955" w:rsidRPr="00607955" w:rsidRDefault="00607955" w:rsidP="00607955">
      <w:pPr>
        <w:pStyle w:val="Intestazione"/>
        <w:tabs>
          <w:tab w:val="clear" w:pos="4819"/>
          <w:tab w:val="clear" w:pos="9638"/>
        </w:tabs>
        <w:jc w:val="both"/>
        <w:rPr>
          <w:sz w:val="22"/>
          <w:szCs w:val="22"/>
        </w:rPr>
      </w:pPr>
      <w:r w:rsidRPr="00607955">
        <w:rPr>
          <w:rFonts w:eastAsia="F0"/>
          <w:sz w:val="22"/>
          <w:szCs w:val="22"/>
        </w:rPr>
        <w:t xml:space="preserve">Il gruppo tedesco si è mosso contemporaneamente su più fronti, creando innanzitutto </w:t>
      </w:r>
      <w:proofErr w:type="gramStart"/>
      <w:r w:rsidRPr="00607955">
        <w:rPr>
          <w:rFonts w:eastAsia="F0"/>
          <w:sz w:val="22"/>
          <w:szCs w:val="22"/>
        </w:rPr>
        <w:t>un nuovo team</w:t>
      </w:r>
      <w:proofErr w:type="gramEnd"/>
      <w:r w:rsidRPr="00607955">
        <w:rPr>
          <w:rFonts w:eastAsia="F0"/>
          <w:sz w:val="22"/>
          <w:szCs w:val="22"/>
        </w:rPr>
        <w:t xml:space="preserve"> con l’obiettivo di migliorare l’efficienza del servizio. In brevissimo tempo sono stati attivati:</w:t>
      </w:r>
    </w:p>
    <w:p w14:paraId="0D8D28B7" w14:textId="77777777" w:rsidR="00607955" w:rsidRPr="00607955" w:rsidRDefault="00607955" w:rsidP="00607955">
      <w:pPr>
        <w:pStyle w:val="Intestazione"/>
        <w:tabs>
          <w:tab w:val="clear" w:pos="4819"/>
          <w:tab w:val="clear" w:pos="9638"/>
        </w:tabs>
        <w:jc w:val="both"/>
        <w:rPr>
          <w:sz w:val="22"/>
          <w:szCs w:val="22"/>
        </w:rPr>
      </w:pPr>
      <w:r w:rsidRPr="00607955">
        <w:rPr>
          <w:rFonts w:eastAsia="F0"/>
          <w:sz w:val="22"/>
          <w:szCs w:val="22"/>
        </w:rPr>
        <w:t>- un call center operativo 24/7 per l’assistenza agli utenti;</w:t>
      </w:r>
    </w:p>
    <w:p w14:paraId="7B5FB00C" w14:textId="77777777" w:rsidR="00607955" w:rsidRPr="00607955" w:rsidRDefault="00607955" w:rsidP="00607955">
      <w:pPr>
        <w:pStyle w:val="Intestazione"/>
        <w:tabs>
          <w:tab w:val="clear" w:pos="4819"/>
          <w:tab w:val="clear" w:pos="9638"/>
        </w:tabs>
        <w:jc w:val="both"/>
        <w:rPr>
          <w:sz w:val="22"/>
          <w:szCs w:val="22"/>
        </w:rPr>
      </w:pPr>
      <w:r w:rsidRPr="00607955">
        <w:rPr>
          <w:rFonts w:eastAsia="F0"/>
          <w:sz w:val="22"/>
          <w:szCs w:val="22"/>
        </w:rPr>
        <w:t>- un portale online per l’accesso diretto ai dati di consumo, fatturazione e pagamenti di ogni utenza;</w:t>
      </w:r>
    </w:p>
    <w:p w14:paraId="20F1A5B6" w14:textId="77777777" w:rsidR="00607955" w:rsidRPr="00607955" w:rsidRDefault="00607955" w:rsidP="00607955">
      <w:pPr>
        <w:pStyle w:val="Intestazione"/>
        <w:tabs>
          <w:tab w:val="clear" w:pos="4819"/>
          <w:tab w:val="clear" w:pos="9638"/>
        </w:tabs>
        <w:jc w:val="both"/>
        <w:rPr>
          <w:sz w:val="22"/>
          <w:szCs w:val="22"/>
        </w:rPr>
      </w:pPr>
      <w:r w:rsidRPr="00607955">
        <w:rPr>
          <w:rFonts w:eastAsia="F0"/>
          <w:sz w:val="22"/>
          <w:szCs w:val="22"/>
        </w:rPr>
        <w:t>- servizi e strumenti per il pagamento digitale delle bollette, anche via internet;</w:t>
      </w:r>
    </w:p>
    <w:p w14:paraId="716EF993" w14:textId="77777777" w:rsidR="00607955" w:rsidRPr="00607955" w:rsidRDefault="00607955" w:rsidP="00607955">
      <w:pPr>
        <w:pStyle w:val="Intestazione"/>
        <w:tabs>
          <w:tab w:val="clear" w:pos="4819"/>
          <w:tab w:val="clear" w:pos="9638"/>
        </w:tabs>
        <w:jc w:val="both"/>
        <w:rPr>
          <w:sz w:val="22"/>
          <w:szCs w:val="22"/>
        </w:rPr>
      </w:pPr>
      <w:r w:rsidRPr="00607955">
        <w:rPr>
          <w:rFonts w:eastAsia="F0"/>
          <w:sz w:val="22"/>
          <w:szCs w:val="22"/>
        </w:rPr>
        <w:t>- un service desk evoluto, per il miglioramento continuo della gestione delle procedure e l’implementazione di nuovi servizi.</w:t>
      </w:r>
    </w:p>
    <w:p w14:paraId="49698106" w14:textId="77777777" w:rsidR="00607955" w:rsidRPr="00607955" w:rsidRDefault="00607955" w:rsidP="00607955">
      <w:pPr>
        <w:pStyle w:val="Intestazione"/>
        <w:tabs>
          <w:tab w:val="clear" w:pos="4819"/>
          <w:tab w:val="clear" w:pos="9638"/>
        </w:tabs>
        <w:jc w:val="both"/>
        <w:rPr>
          <w:sz w:val="22"/>
          <w:szCs w:val="22"/>
        </w:rPr>
      </w:pPr>
      <w:r w:rsidRPr="00607955">
        <w:rPr>
          <w:rFonts w:eastAsia="F0"/>
          <w:sz w:val="22"/>
          <w:szCs w:val="22"/>
        </w:rPr>
        <w:t xml:space="preserve">L’attenta </w:t>
      </w:r>
      <w:r w:rsidRPr="00607955">
        <w:rPr>
          <w:sz w:val="22"/>
          <w:szCs w:val="22"/>
        </w:rPr>
        <w:t>formazione professionale del personale ha permesso di migliorare notevolmente l’affidabilità delle letture dei consumi, la precisione della fatturazione e la gestione delle relazioni con gli utenti, creando un clima di fiducia e collaborazione che ha consentito di regolarizzare i pagamenti, recuperare i crediti e ridurre i contenziosi.</w:t>
      </w:r>
    </w:p>
    <w:p w14:paraId="6F87B07F" w14:textId="77777777" w:rsidR="00607955" w:rsidRPr="00607955" w:rsidRDefault="00607955" w:rsidP="00607955">
      <w:pPr>
        <w:pStyle w:val="Intestazione"/>
        <w:tabs>
          <w:tab w:val="clear" w:pos="4819"/>
          <w:tab w:val="clear" w:pos="9638"/>
        </w:tabs>
        <w:jc w:val="both"/>
        <w:rPr>
          <w:sz w:val="22"/>
          <w:szCs w:val="22"/>
        </w:rPr>
      </w:pPr>
      <w:r w:rsidRPr="00607955">
        <w:rPr>
          <w:sz w:val="22"/>
          <w:szCs w:val="22"/>
        </w:rPr>
        <w:t>Parallelamente è iniziata l’installazione dei nuovi contatori a ultrasuoni ista ultego III smart, tutti connessi a un sistema integrato per la contabilizzazione dei consumi. Contemporaneamente è stata formata una squadra di tecnici che provvedono alle operazioni di lettura e manutenzione dei contatori.</w:t>
      </w:r>
    </w:p>
    <w:p w14:paraId="438AF8DD" w14:textId="77777777" w:rsidR="00607955" w:rsidRPr="00607955" w:rsidRDefault="00607955" w:rsidP="00607955">
      <w:pPr>
        <w:pStyle w:val="Intestazione"/>
        <w:tabs>
          <w:tab w:val="clear" w:pos="4819"/>
          <w:tab w:val="clear" w:pos="9638"/>
        </w:tabs>
        <w:jc w:val="both"/>
        <w:rPr>
          <w:sz w:val="22"/>
          <w:szCs w:val="22"/>
        </w:rPr>
      </w:pPr>
      <w:r w:rsidRPr="00607955">
        <w:rPr>
          <w:sz w:val="22"/>
          <w:szCs w:val="22"/>
        </w:rPr>
        <w:t xml:space="preserve">Attualmente i contatori </w:t>
      </w:r>
      <w:proofErr w:type="gramStart"/>
      <w:r w:rsidRPr="00607955">
        <w:rPr>
          <w:sz w:val="22"/>
          <w:szCs w:val="22"/>
        </w:rPr>
        <w:t>ista</w:t>
      </w:r>
      <w:proofErr w:type="gramEnd"/>
      <w:r w:rsidRPr="00607955">
        <w:rPr>
          <w:sz w:val="22"/>
          <w:szCs w:val="22"/>
        </w:rPr>
        <w:t xml:space="preserve"> ultego III smart sono installati in oltre 4.000 unità immobiliari, in sostituzione degli apparecchi preesistenti. ista ha curato direttamente l’ingegnerizzazione della commessa e si è occupata della supervisione della posa in opera, del cablaggio, dei test e della messa in funzione del sistema.</w:t>
      </w:r>
    </w:p>
    <w:p w14:paraId="457A1286" w14:textId="77777777" w:rsidR="00607955" w:rsidRPr="00607955" w:rsidRDefault="00607955" w:rsidP="00607955">
      <w:pPr>
        <w:jc w:val="both"/>
        <w:rPr>
          <w:sz w:val="22"/>
          <w:szCs w:val="22"/>
        </w:rPr>
      </w:pPr>
      <w:r w:rsidRPr="00607955">
        <w:rPr>
          <w:color w:val="000000"/>
          <w:sz w:val="22"/>
          <w:szCs w:val="22"/>
        </w:rPr>
        <w:t>ista ultego III smart è il “cuore” del sistema: adatto per impianti di riscaldamento, teleriscaldamento e raffrescamento, questo contatore è stato sviluppato per l’installazione in spazi ridotti e adatta il proprio funzionamento alle variazioni dei parametri operativi del fluido termovettore.</w:t>
      </w:r>
    </w:p>
    <w:p w14:paraId="77256928" w14:textId="77777777" w:rsidR="00607955" w:rsidRPr="00607955" w:rsidRDefault="00607955" w:rsidP="00607955">
      <w:pPr>
        <w:jc w:val="both"/>
        <w:rPr>
          <w:sz w:val="22"/>
          <w:szCs w:val="22"/>
        </w:rPr>
      </w:pPr>
      <w:r w:rsidRPr="00607955">
        <w:rPr>
          <w:color w:val="000000"/>
          <w:sz w:val="22"/>
          <w:szCs w:val="22"/>
        </w:rPr>
        <w:t>Le sue prestazioni sono al vertice del settore: la portata è misurata ogni 4 secondi mentre la temperatura è rilevata ogni 4÷60 secondi. In caso di incremento del flusso (superiore al 30%) o di variazione della temperatura (superiore a 1 °C), aumenta anche la frequenza delle misure, a vantaggio della massima precisione nelle misure.</w:t>
      </w:r>
    </w:p>
    <w:p w14:paraId="7140127F" w14:textId="77777777" w:rsidR="00607955" w:rsidRPr="00607955" w:rsidRDefault="00607955" w:rsidP="00607955">
      <w:pPr>
        <w:pStyle w:val="Intestazione"/>
        <w:tabs>
          <w:tab w:val="clear" w:pos="4819"/>
          <w:tab w:val="clear" w:pos="9638"/>
        </w:tabs>
        <w:jc w:val="both"/>
        <w:rPr>
          <w:sz w:val="22"/>
          <w:szCs w:val="22"/>
        </w:rPr>
      </w:pPr>
      <w:r w:rsidRPr="00607955">
        <w:rPr>
          <w:sz w:val="22"/>
          <w:szCs w:val="22"/>
        </w:rPr>
        <w:t xml:space="preserve">A </w:t>
      </w:r>
      <w:r w:rsidRPr="00607955">
        <w:rPr>
          <w:rFonts w:eastAsia="F0"/>
          <w:sz w:val="22"/>
          <w:szCs w:val="22"/>
        </w:rPr>
        <w:t>Town Square Dubai, i</w:t>
      </w:r>
      <w:r w:rsidRPr="00607955">
        <w:rPr>
          <w:sz w:val="22"/>
          <w:szCs w:val="22"/>
        </w:rPr>
        <w:t>l collegamento fra contatori e centraline è affidato prevalentemente a un protocollo M-bus, ma in alcuni casi particolarmente complessi è stata implementata una soluzione ibrida, che utilizza la connettività wireless per i contatori e un cablaggio gateway/M-bus Masters e HMI.</w:t>
      </w:r>
    </w:p>
    <w:p w14:paraId="421292CA" w14:textId="77777777" w:rsidR="00607955" w:rsidRPr="00607955" w:rsidRDefault="00607955" w:rsidP="00607955">
      <w:pPr>
        <w:pStyle w:val="Intestazione"/>
        <w:tabs>
          <w:tab w:val="clear" w:pos="4819"/>
          <w:tab w:val="clear" w:pos="9638"/>
        </w:tabs>
        <w:jc w:val="both"/>
        <w:rPr>
          <w:sz w:val="22"/>
          <w:szCs w:val="22"/>
        </w:rPr>
      </w:pPr>
      <w:r w:rsidRPr="00607955">
        <w:rPr>
          <w:sz w:val="22"/>
          <w:szCs w:val="22"/>
        </w:rPr>
        <w:t>Ora tutte le funzioni più importanti (</w:t>
      </w:r>
      <w:r w:rsidRPr="00607955">
        <w:rPr>
          <w:color w:val="000000"/>
          <w:sz w:val="22"/>
          <w:szCs w:val="22"/>
        </w:rPr>
        <w:t>lettura e comunicazione dei dati, contabilizzazione e fatturazione dei consumi, raccolta e verifica dei pagamenti, ecc.) si svolgono in modo automatico, secondo criteri di precisione ed efficienza, a tutela degli interessi di NSHAMA e nel rispetto della trasparenza e della privacy degli utenti.</w:t>
      </w:r>
    </w:p>
    <w:p w14:paraId="1668E9C8" w14:textId="05E6D8C9" w:rsidR="007C332E" w:rsidRPr="00607955" w:rsidRDefault="007C332E" w:rsidP="00607955"/>
    <w:sectPr w:rsidR="007C332E" w:rsidRPr="00607955" w:rsidSect="007C332E">
      <w:headerReference w:type="default" r:id="rId7"/>
      <w:footerReference w:type="default" r:id="rId8"/>
      <w:pgSz w:w="11906" w:h="16838"/>
      <w:pgMar w:top="1361" w:right="1134" w:bottom="774" w:left="1134" w:header="272" w:footer="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7A13" w14:textId="77777777" w:rsidR="0006229B" w:rsidRDefault="0006229B">
      <w:r>
        <w:separator/>
      </w:r>
    </w:p>
  </w:endnote>
  <w:endnote w:type="continuationSeparator" w:id="0">
    <w:p w14:paraId="58E17B39" w14:textId="77777777" w:rsidR="0006229B" w:rsidRDefault="0006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nQuanYi Micro Hei">
    <w:altName w:val="Calibri"/>
    <w:panose1 w:val="020B0604020202020204"/>
    <w:charset w:val="00"/>
    <w:family w:val="auto"/>
    <w:pitch w:val="variable"/>
  </w:font>
  <w:font w:name="Lohit Hindi">
    <w:altName w:val="Cambria"/>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Mono">
    <w:altName w:val="Courier New"/>
    <w:panose1 w:val="020B0604020202020204"/>
    <w:charset w:val="00"/>
    <w:family w:val="modern"/>
    <w:pitch w:val="fixed"/>
  </w:font>
  <w:font w:name="Courier New">
    <w:panose1 w:val="02070309020205020404"/>
    <w:charset w:val="00"/>
    <w:family w:val="modern"/>
    <w:pitch w:val="fixed"/>
    <w:sig w:usb0="E0002EFF" w:usb1="C0007843" w:usb2="00000009" w:usb3="00000000" w:csb0="000001FF" w:csb1="00000000"/>
  </w:font>
  <w:font w:name="F0">
    <w:panose1 w:val="020B0604020202020204"/>
    <w:charset w:val="01"/>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E73C" w14:textId="77777777" w:rsidR="007C332E" w:rsidRDefault="007C332E" w:rsidP="007C332E">
    <w:pPr>
      <w:pStyle w:val="Pidipagina"/>
      <w:rPr>
        <w:rFonts w:asciiTheme="majorHAnsi" w:hAnsiTheme="majorHAnsi"/>
        <w:color w:val="808080" w:themeColor="background1" w:themeShade="80"/>
        <w:sz w:val="16"/>
        <w:szCs w:val="16"/>
      </w:rPr>
    </w:pPr>
    <w:r w:rsidRPr="006B382B">
      <w:rPr>
        <w:rFonts w:asciiTheme="majorHAnsi" w:hAnsiTheme="majorHAnsi"/>
        <w:b/>
        <w:color w:val="808080" w:themeColor="background1" w:themeShade="80"/>
        <w:sz w:val="16"/>
        <w:szCs w:val="16"/>
      </w:rPr>
      <w:t>ista Italia s.r.l.</w:t>
    </w:r>
    <w:r w:rsidRPr="00564007">
      <w:rPr>
        <w:rFonts w:asciiTheme="majorHAnsi" w:hAnsiTheme="majorHAnsi"/>
        <w:color w:val="808080" w:themeColor="background1" w:themeShade="80"/>
        <w:sz w:val="16"/>
        <w:szCs w:val="16"/>
      </w:rPr>
      <w:t xml:space="preserve"> Via R. Lepetit, 40 - 20020 Lainate (MI) - info.italia@ista.com</w:t>
    </w:r>
    <w:r>
      <w:rPr>
        <w:rFonts w:asciiTheme="majorHAnsi" w:hAnsiTheme="majorHAnsi"/>
        <w:color w:val="808080" w:themeColor="background1" w:themeShade="80"/>
        <w:sz w:val="16"/>
        <w:szCs w:val="16"/>
      </w:rPr>
      <w:t xml:space="preserve"> - Sede di </w:t>
    </w:r>
    <w:r w:rsidRPr="00564007">
      <w:rPr>
        <w:rFonts w:asciiTheme="majorHAnsi" w:hAnsiTheme="majorHAnsi"/>
        <w:color w:val="808080" w:themeColor="background1" w:themeShade="80"/>
        <w:sz w:val="16"/>
        <w:szCs w:val="16"/>
      </w:rPr>
      <w:t xml:space="preserve">Roma: Viale C. </w:t>
    </w:r>
    <w:proofErr w:type="spellStart"/>
    <w:r w:rsidRPr="00564007">
      <w:rPr>
        <w:rFonts w:asciiTheme="majorHAnsi" w:hAnsiTheme="majorHAnsi"/>
        <w:color w:val="808080" w:themeColor="background1" w:themeShade="80"/>
        <w:sz w:val="16"/>
        <w:szCs w:val="16"/>
      </w:rPr>
      <w:t>Marx</w:t>
    </w:r>
    <w:proofErr w:type="spellEnd"/>
    <w:r w:rsidRPr="00564007">
      <w:rPr>
        <w:rFonts w:asciiTheme="majorHAnsi" w:hAnsiTheme="majorHAnsi"/>
        <w:color w:val="808080" w:themeColor="background1" w:themeShade="80"/>
        <w:sz w:val="16"/>
        <w:szCs w:val="16"/>
      </w:rPr>
      <w:t>, 135/2 - 00137 Roma ph. +39 06 5947411</w:t>
    </w:r>
  </w:p>
  <w:p w14:paraId="51AEC974" w14:textId="189EA7DC" w:rsidR="007C332E" w:rsidRPr="00FB281F" w:rsidRDefault="007C332E" w:rsidP="007C332E">
    <w:pPr>
      <w:pStyle w:val="Pidipagina"/>
      <w:rPr>
        <w:rFonts w:asciiTheme="majorHAnsi" w:hAnsiTheme="majorHAnsi"/>
        <w:color w:val="808080" w:themeColor="background1" w:themeShade="80"/>
        <w:sz w:val="16"/>
        <w:szCs w:val="16"/>
      </w:rPr>
    </w:pPr>
    <w:r w:rsidRPr="006452CD">
      <w:rPr>
        <w:rFonts w:asciiTheme="majorHAnsi" w:hAnsiTheme="majorHAnsi"/>
        <w:b/>
        <w:color w:val="808080" w:themeColor="background1" w:themeShade="80"/>
        <w:sz w:val="16"/>
        <w:szCs w:val="16"/>
      </w:rPr>
      <w:t>Ufficio Stamp</w:t>
    </w:r>
    <w:r>
      <w:rPr>
        <w:rFonts w:asciiTheme="majorHAnsi" w:hAnsiTheme="majorHAnsi"/>
        <w:b/>
        <w:color w:val="808080" w:themeColor="background1" w:themeShade="80"/>
        <w:sz w:val="16"/>
        <w:szCs w:val="16"/>
      </w:rPr>
      <w:t>a Itali</w:t>
    </w:r>
    <w:r w:rsidRPr="006452CD">
      <w:rPr>
        <w:rFonts w:asciiTheme="majorHAnsi" w:hAnsiTheme="majorHAnsi"/>
        <w:b/>
        <w:color w:val="808080" w:themeColor="background1" w:themeShade="80"/>
        <w:sz w:val="16"/>
        <w:szCs w:val="16"/>
      </w:rPr>
      <w:t>a</w:t>
    </w:r>
    <w:r>
      <w:rPr>
        <w:rFonts w:asciiTheme="majorHAnsi" w:hAnsiTheme="majorHAnsi"/>
        <w:color w:val="808080" w:themeColor="background1" w:themeShade="80"/>
        <w:sz w:val="16"/>
        <w:szCs w:val="16"/>
      </w:rPr>
      <w:t xml:space="preserve">: </w:t>
    </w:r>
    <w:r w:rsidR="00607955" w:rsidRPr="00607955">
      <w:rPr>
        <w:rFonts w:asciiTheme="majorHAnsi" w:hAnsiTheme="majorHAnsi"/>
        <w:b/>
        <w:bCs/>
        <w:color w:val="808080" w:themeColor="background1" w:themeShade="80"/>
        <w:sz w:val="16"/>
        <w:szCs w:val="16"/>
      </w:rPr>
      <w:t>TAConline</w:t>
    </w:r>
    <w:r w:rsidRPr="00607955">
      <w:rPr>
        <w:rFonts w:asciiTheme="majorHAnsi" w:hAnsiTheme="majorHAnsi"/>
        <w:b/>
        <w:bCs/>
        <w:color w:val="808080" w:themeColor="background1" w:themeShade="80"/>
        <w:sz w:val="16"/>
        <w:szCs w:val="16"/>
      </w:rPr>
      <w:t xml:space="preserve"> </w:t>
    </w:r>
    <w:r w:rsidR="00607955">
      <w:rPr>
        <w:rFonts w:asciiTheme="majorHAnsi" w:hAnsiTheme="majorHAnsi"/>
        <w:color w:val="808080" w:themeColor="background1" w:themeShade="80"/>
        <w:sz w:val="16"/>
        <w:szCs w:val="16"/>
      </w:rPr>
      <w:t xml:space="preserve">- </w:t>
    </w:r>
    <w:proofErr w:type="spellStart"/>
    <w:r>
      <w:rPr>
        <w:rFonts w:asciiTheme="majorHAnsi" w:hAnsiTheme="majorHAnsi"/>
        <w:color w:val="808080" w:themeColor="background1" w:themeShade="80"/>
        <w:sz w:val="16"/>
        <w:szCs w:val="16"/>
      </w:rPr>
      <w:t>Milano|Genova</w:t>
    </w:r>
    <w:proofErr w:type="spellEnd"/>
    <w:r>
      <w:rPr>
        <w:rFonts w:asciiTheme="majorHAnsi" w:hAnsiTheme="majorHAnsi"/>
        <w:color w:val="808080" w:themeColor="background1" w:themeShade="80"/>
        <w:sz w:val="16"/>
        <w:szCs w:val="16"/>
      </w:rPr>
      <w:t xml:space="preserve"> - press@taconline.it - ph. +39 02 48517618 - +39 0185 351616</w:t>
    </w:r>
  </w:p>
  <w:p w14:paraId="1C54A1D0" w14:textId="77777777" w:rsidR="007C332E" w:rsidRDefault="007C33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57FF" w14:textId="77777777" w:rsidR="0006229B" w:rsidRDefault="0006229B">
      <w:r>
        <w:rPr>
          <w:color w:val="000000"/>
        </w:rPr>
        <w:separator/>
      </w:r>
    </w:p>
  </w:footnote>
  <w:footnote w:type="continuationSeparator" w:id="0">
    <w:p w14:paraId="3CCC2B8B" w14:textId="77777777" w:rsidR="0006229B" w:rsidRDefault="0006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C7CB" w14:textId="298BFE32" w:rsidR="00C31C16" w:rsidRPr="00D715BE" w:rsidRDefault="00D1353C" w:rsidP="00D715BE">
    <w:pPr>
      <w:pStyle w:val="Intestazione"/>
      <w:rPr>
        <w:rFonts w:asciiTheme="minorHAnsi" w:hAnsiTheme="minorHAnsi" w:cstheme="minorHAnsi"/>
      </w:rPr>
    </w:pPr>
    <w:r w:rsidRPr="00D715BE">
      <w:rPr>
        <w:rFonts w:asciiTheme="minorHAnsi" w:hAnsiTheme="minorHAnsi" w:cstheme="minorHAnsi"/>
        <w:noProof/>
        <w:color w:val="000000" w:themeColor="text1"/>
        <w:lang w:eastAsia="it-IT"/>
      </w:rPr>
      <w:drawing>
        <wp:inline distT="0" distB="0" distL="0" distR="0" wp14:anchorId="556B3CB3" wp14:editId="0E048BAE">
          <wp:extent cx="939800" cy="402772"/>
          <wp:effectExtent l="0" t="0" r="0" b="3810"/>
          <wp:docPr id="1" name="Immagine 1"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a_CO_Word.bmp"/>
                  <pic:cNvPicPr/>
                </pic:nvPicPr>
                <pic:blipFill>
                  <a:blip r:embed="rId1"/>
                  <a:stretch>
                    <a:fillRect/>
                  </a:stretch>
                </pic:blipFill>
                <pic:spPr>
                  <a:xfrm>
                    <a:off x="0" y="0"/>
                    <a:ext cx="947076" cy="405890"/>
                  </a:xfrm>
                  <a:prstGeom prst="rect">
                    <a:avLst/>
                  </a:prstGeom>
                </pic:spPr>
              </pic:pic>
            </a:graphicData>
          </a:graphic>
        </wp:inline>
      </w:drawing>
    </w:r>
    <w:r w:rsidR="00D715BE" w:rsidRPr="00D715BE">
      <w:rPr>
        <w:rFonts w:asciiTheme="minorHAnsi" w:hAnsiTheme="minorHAnsi" w:cstheme="minorHAnsi"/>
      </w:rPr>
      <w:tab/>
    </w:r>
    <w:r w:rsidR="00D715BE" w:rsidRPr="00D715BE">
      <w:rPr>
        <w:rFonts w:asciiTheme="minorHAnsi" w:hAnsiTheme="minorHAnsi" w:cstheme="minorHAnsi"/>
      </w:rPr>
      <w:tab/>
    </w:r>
    <w:r w:rsidR="00D715BE" w:rsidRPr="00D715BE">
      <w:rPr>
        <w:rFonts w:asciiTheme="minorHAnsi" w:hAnsiTheme="minorHAnsi" w:cstheme="minorHAnsi"/>
      </w:rPr>
      <w:tab/>
    </w:r>
    <w:r w:rsidR="00D715BE">
      <w:rPr>
        <w:rFonts w:asciiTheme="minorHAnsi" w:hAnsiTheme="minorHAnsi" w:cstheme="minorHAnsi"/>
      </w:rPr>
      <w:tab/>
    </w:r>
    <w:r w:rsidR="00D715BE" w:rsidRPr="00D715BE">
      <w:rPr>
        <w:rFonts w:asciiTheme="minorHAnsi" w:hAnsiTheme="minorHAnsi" w:cstheme="minorHAnsi"/>
      </w:rPr>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1FB"/>
    <w:multiLevelType w:val="multilevel"/>
    <w:tmpl w:val="020038AA"/>
    <w:styleLink w:val="Outline"/>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A063B45"/>
    <w:multiLevelType w:val="multilevel"/>
    <w:tmpl w:val="1BB4176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Titolo5"/>
      <w:lvlText w:val="%1.%2.%3.%4.%5"/>
      <w:lvlJc w:val="left"/>
      <w:pPr>
        <w:ind w:left="1134" w:hanging="1134"/>
      </w:pPr>
    </w:lvl>
    <w:lvl w:ilvl="5">
      <w:start w:val="1"/>
      <w:numFmt w:val="decimal"/>
      <w:pStyle w:val="Titolo6"/>
      <w:lvlText w:val="%1.%2.%3.%4.%5.%6"/>
      <w:lvlJc w:val="left"/>
      <w:pPr>
        <w:ind w:left="1134" w:hanging="1134"/>
      </w:pPr>
    </w:lvl>
    <w:lvl w:ilvl="6">
      <w:start w:val="1"/>
      <w:numFmt w:val="decimal"/>
      <w:pStyle w:val="Titolo7"/>
      <w:lvlText w:val="%1.%2.%3.%4.%5.%6.%7"/>
      <w:lvlJc w:val="left"/>
      <w:pPr>
        <w:ind w:left="1134" w:hanging="1134"/>
      </w:pPr>
    </w:lvl>
    <w:lvl w:ilvl="7">
      <w:start w:val="1"/>
      <w:numFmt w:val="decimal"/>
      <w:pStyle w:val="Titolo8"/>
      <w:lvlText w:val="%1.%2.%3.%4.%5.%6.%7.%8"/>
      <w:lvlJc w:val="left"/>
      <w:pPr>
        <w:ind w:left="1134" w:hanging="1134"/>
      </w:pPr>
    </w:lvl>
    <w:lvl w:ilvl="8">
      <w:start w:val="1"/>
      <w:numFmt w:val="decimal"/>
      <w:pStyle w:val="Titolo9"/>
      <w:lvlText w:val="%1.%2.%3.%4.%5.%6.%7.%8.%9"/>
      <w:lvlJc w:val="left"/>
      <w:pPr>
        <w:ind w:left="1134" w:hanging="1134"/>
      </w:pPr>
    </w:lvl>
  </w:abstractNum>
  <w:abstractNum w:abstractNumId="2" w15:restartNumberingAfterBreak="0">
    <w:nsid w:val="192E22A8"/>
    <w:multiLevelType w:val="multilevel"/>
    <w:tmpl w:val="90581D5A"/>
    <w:styleLink w:val="WW8Num1"/>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2947373B"/>
    <w:multiLevelType w:val="multilevel"/>
    <w:tmpl w:val="17AC61C0"/>
    <w:styleLink w:val="WW8Num2"/>
    <w:lvl w:ilvl="0">
      <w:numFmt w:val="bullet"/>
      <w:pStyle w:val="Rientronumerato"/>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1BA39ED"/>
    <w:multiLevelType w:val="multilevel"/>
    <w:tmpl w:val="E53E289A"/>
    <w:styleLink w:val="WW8Num4"/>
    <w:lvl w:ilvl="0">
      <w:start w:val="1"/>
      <w:numFmt w:val="none"/>
      <w:pStyle w:val="Rientro2"/>
      <w:suff w:val="nothing"/>
      <w:lvlText w:val="%1"/>
      <w:lvlJc w:val="left"/>
      <w:pPr>
        <w:ind w:left="284" w:hanging="28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3C3540D"/>
    <w:multiLevelType w:val="multilevel"/>
    <w:tmpl w:val="8C1ED9B4"/>
    <w:styleLink w:val="WW8Num3"/>
    <w:lvl w:ilvl="0">
      <w:start w:val="1"/>
      <w:numFmt w:val="decimal"/>
      <w:pStyle w:val="Elenco"/>
      <w:lvlText w:val="%1."/>
      <w:lvlJc w:val="left"/>
      <w:pPr>
        <w:ind w:left="425" w:hanging="4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6C"/>
    <w:rsid w:val="0006229B"/>
    <w:rsid w:val="00091699"/>
    <w:rsid w:val="002436ED"/>
    <w:rsid w:val="002B2F6C"/>
    <w:rsid w:val="003D4E1C"/>
    <w:rsid w:val="00607955"/>
    <w:rsid w:val="006F50A0"/>
    <w:rsid w:val="00732120"/>
    <w:rsid w:val="007C332E"/>
    <w:rsid w:val="00A13566"/>
    <w:rsid w:val="00AB5E0D"/>
    <w:rsid w:val="00AE1261"/>
    <w:rsid w:val="00D1353C"/>
    <w:rsid w:val="00D20BBC"/>
    <w:rsid w:val="00D715BE"/>
    <w:rsid w:val="00DF5B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241"/>
  <w15:docId w15:val="{82310A30-AD6B-FD46-8618-0B8A9562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WenQuanYi Micro Hei" w:hAnsi="Times New Roman" w:cs="Lohit Hindi"/>
        <w:kern w:val="3"/>
        <w:sz w:val="21"/>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outlineLvl w:val="0"/>
    </w:pPr>
    <w:rPr>
      <w:b/>
    </w:rPr>
  </w:style>
  <w:style w:type="paragraph" w:styleId="Titolo2">
    <w:name w:val="heading 2"/>
    <w:basedOn w:val="Standard"/>
    <w:next w:val="Standard"/>
    <w:uiPriority w:val="9"/>
    <w:semiHidden/>
    <w:unhideWhenUsed/>
    <w:qFormat/>
    <w:pPr>
      <w:keepNext/>
      <w:outlineLvl w:val="1"/>
    </w:pPr>
    <w:rPr>
      <w:i/>
    </w:rPr>
  </w:style>
  <w:style w:type="paragraph" w:styleId="Titolo3">
    <w:name w:val="heading 3"/>
    <w:basedOn w:val="Standard"/>
    <w:next w:val="Standard"/>
    <w:uiPriority w:val="9"/>
    <w:semiHidden/>
    <w:unhideWhenUsed/>
    <w:qFormat/>
    <w:pPr>
      <w:keepNext/>
      <w:outlineLvl w:val="2"/>
    </w:pPr>
    <w:rPr>
      <w:b/>
      <w:sz w:val="24"/>
    </w:rPr>
  </w:style>
  <w:style w:type="paragraph" w:styleId="Titolo4">
    <w:name w:val="heading 4"/>
    <w:basedOn w:val="Standard"/>
    <w:next w:val="Standard"/>
    <w:uiPriority w:val="9"/>
    <w:semiHidden/>
    <w:unhideWhenUsed/>
    <w:qFormat/>
    <w:pPr>
      <w:keepNext/>
      <w:outlineLvl w:val="3"/>
    </w:pPr>
    <w:rPr>
      <w:b/>
      <w:sz w:val="28"/>
      <w:u w:val="single"/>
    </w:rPr>
  </w:style>
  <w:style w:type="paragraph" w:styleId="Titolo5">
    <w:name w:val="heading 5"/>
    <w:basedOn w:val="Titolo4"/>
    <w:next w:val="Textbody"/>
    <w:uiPriority w:val="9"/>
    <w:semiHidden/>
    <w:unhideWhenUsed/>
    <w:qFormat/>
    <w:pPr>
      <w:keepLines/>
      <w:numPr>
        <w:ilvl w:val="4"/>
        <w:numId w:val="1"/>
      </w:numPr>
      <w:tabs>
        <w:tab w:val="left" w:pos="-774"/>
        <w:tab w:val="right" w:pos="6237"/>
        <w:tab w:val="right" w:pos="8222"/>
      </w:tabs>
      <w:spacing w:before="360" w:after="60"/>
      <w:jc w:val="both"/>
      <w:outlineLvl w:val="4"/>
    </w:pPr>
    <w:rPr>
      <w:sz w:val="24"/>
      <w:u w:val="none"/>
    </w:rPr>
  </w:style>
  <w:style w:type="paragraph" w:styleId="Titolo6">
    <w:name w:val="heading 6"/>
    <w:basedOn w:val="Titolo5"/>
    <w:next w:val="Textbody"/>
    <w:uiPriority w:val="9"/>
    <w:semiHidden/>
    <w:unhideWhenUsed/>
    <w:qFormat/>
    <w:pPr>
      <w:numPr>
        <w:ilvl w:val="5"/>
      </w:numPr>
      <w:tabs>
        <w:tab w:val="left" w:pos="-1134"/>
      </w:tabs>
      <w:spacing w:before="240" w:after="0"/>
      <w:outlineLvl w:val="5"/>
    </w:pPr>
    <w:rPr>
      <w:i/>
      <w:caps/>
    </w:rPr>
  </w:style>
  <w:style w:type="paragraph" w:styleId="Titolo7">
    <w:name w:val="heading 7"/>
    <w:basedOn w:val="Titolo6"/>
    <w:next w:val="Textbody"/>
    <w:pPr>
      <w:numPr>
        <w:ilvl w:val="6"/>
      </w:numPr>
      <w:outlineLvl w:val="6"/>
    </w:pPr>
    <w:rPr>
      <w:caps w:val="0"/>
    </w:rPr>
  </w:style>
  <w:style w:type="paragraph" w:styleId="Titolo8">
    <w:name w:val="heading 8"/>
    <w:basedOn w:val="Titolo7"/>
    <w:next w:val="Textbody"/>
    <w:pPr>
      <w:numPr>
        <w:ilvl w:val="7"/>
      </w:numPr>
      <w:outlineLvl w:val="7"/>
    </w:pPr>
    <w:rPr>
      <w:b w:val="0"/>
      <w:caps/>
    </w:rPr>
  </w:style>
  <w:style w:type="paragraph" w:styleId="Titolo9">
    <w:name w:val="heading 9"/>
    <w:basedOn w:val="Titolo8"/>
    <w:next w:val="Textbody"/>
    <w:pPr>
      <w:numPr>
        <w:ilvl w:val="8"/>
      </w:numPr>
      <w:outlineLvl w:val="8"/>
    </w:pPr>
    <w:rPr>
      <w:caps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
    <w:name w:val="WW_OutlineListStyle"/>
    <w:basedOn w:val="Nessunelenco"/>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eastAsia="Lucida Sans Unicode" w:cs="Tahoma"/>
      <w:sz w:val="24"/>
      <w:szCs w:val="28"/>
    </w:rPr>
  </w:style>
  <w:style w:type="paragraph" w:customStyle="1" w:styleId="Textbody">
    <w:name w:val="Text body"/>
    <w:basedOn w:val="Standard"/>
    <w:pPr>
      <w:spacing w:line="360" w:lineRule="auto"/>
      <w:jc w:val="both"/>
    </w:pPr>
    <w:rPr>
      <w:sz w:val="24"/>
    </w:rPr>
  </w:style>
  <w:style w:type="paragraph" w:styleId="Elenco">
    <w:name w:val="List"/>
    <w:basedOn w:val="Rientronumerato"/>
    <w:pPr>
      <w:numPr>
        <w:numId w:val="5"/>
      </w:numPr>
      <w:ind w:right="1985"/>
    </w:pPr>
  </w:style>
  <w:style w:type="paragraph" w:styleId="Didascalia">
    <w:name w:val="caption"/>
    <w:basedOn w:val="Standard"/>
    <w:next w:val="Standard"/>
    <w:pPr>
      <w:jc w:val="both"/>
    </w:pPr>
    <w:rPr>
      <w:i/>
      <w:sz w:val="24"/>
    </w:rPr>
  </w:style>
  <w:style w:type="paragraph" w:customStyle="1" w:styleId="Index">
    <w:name w:val="Index"/>
    <w:basedOn w:val="Standard"/>
    <w:pPr>
      <w:suppressLineNumbers/>
    </w:pPr>
    <w:rPr>
      <w:rFonts w:cs="Tahoma"/>
    </w:rPr>
  </w:style>
  <w:style w:type="paragraph" w:customStyle="1" w:styleId="Rientro1">
    <w:name w:val="Rientro 1"/>
    <w:basedOn w:val="Standard"/>
    <w:pPr>
      <w:tabs>
        <w:tab w:val="left" w:pos="1136"/>
        <w:tab w:val="right" w:pos="8223"/>
        <w:tab w:val="right" w:pos="10208"/>
      </w:tabs>
      <w:jc w:val="both"/>
    </w:pPr>
    <w:rPr>
      <w:sz w:val="24"/>
    </w:rPr>
  </w:style>
  <w:style w:type="paragraph" w:customStyle="1" w:styleId="Rientronumerato">
    <w:name w:val="Rientro numerato"/>
    <w:basedOn w:val="Rientro1"/>
    <w:pPr>
      <w:numPr>
        <w:numId w:val="4"/>
      </w:numPr>
    </w:pPr>
  </w:style>
  <w:style w:type="paragraph" w:customStyle="1" w:styleId="articoli">
    <w:name w:val="articoli"/>
    <w:pPr>
      <w:widowControl/>
      <w:suppressAutoHyphens/>
      <w:spacing w:line="480" w:lineRule="auto"/>
    </w:pPr>
    <w:rPr>
      <w:rFonts w:eastAsia="Arial" w:cs="Times New Roman"/>
      <w:sz w:val="24"/>
      <w:szCs w:val="20"/>
      <w:lang w:bidi="ar-SA"/>
    </w:rPr>
  </w:style>
  <w:style w:type="paragraph" w:styleId="Titolo">
    <w:name w:val="Title"/>
    <w:basedOn w:val="Standard"/>
    <w:next w:val="Sottotitolo"/>
    <w:uiPriority w:val="10"/>
    <w:qFormat/>
    <w:pPr>
      <w:jc w:val="center"/>
    </w:pPr>
    <w:rPr>
      <w:b/>
    </w:rPr>
  </w:style>
  <w:style w:type="paragraph" w:styleId="Sottotitolo">
    <w:name w:val="Subtitle"/>
    <w:basedOn w:val="Heading"/>
    <w:next w:val="Textbody"/>
    <w:uiPriority w:val="11"/>
    <w:qFormat/>
    <w:pPr>
      <w:jc w:val="center"/>
    </w:pPr>
    <w:rPr>
      <w:i/>
      <w:iCs/>
      <w:sz w:val="28"/>
    </w:rPr>
  </w:style>
  <w:style w:type="paragraph" w:styleId="Corpodeltesto3">
    <w:name w:val="Body Text 3"/>
    <w:basedOn w:val="Standard"/>
    <w:pPr>
      <w:jc w:val="both"/>
    </w:pPr>
    <w:rPr>
      <w:sz w:val="28"/>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link w:val="IntestazioneCarattere"/>
    <w:pPr>
      <w:tabs>
        <w:tab w:val="center" w:pos="4819"/>
        <w:tab w:val="right" w:pos="9638"/>
      </w:tabs>
    </w:pPr>
  </w:style>
  <w:style w:type="paragraph" w:styleId="Pidipagina">
    <w:name w:val="footer"/>
    <w:basedOn w:val="Standard"/>
    <w:link w:val="PidipaginaCarattere"/>
    <w:uiPriority w:val="99"/>
    <w:pPr>
      <w:tabs>
        <w:tab w:val="center" w:pos="4819"/>
        <w:tab w:val="right" w:pos="9638"/>
      </w:tabs>
    </w:pPr>
  </w:style>
  <w:style w:type="paragraph" w:customStyle="1" w:styleId="Textbodyindent">
    <w:name w:val="Text body indent"/>
    <w:basedOn w:val="Standard"/>
    <w:pPr>
      <w:spacing w:line="360" w:lineRule="auto"/>
      <w:ind w:firstLine="500"/>
      <w:jc w:val="both"/>
    </w:pPr>
    <w:rPr>
      <w:sz w:val="24"/>
    </w:rPr>
  </w:style>
  <w:style w:type="paragraph" w:customStyle="1" w:styleId="Base">
    <w:name w:val="Base"/>
    <w:basedOn w:val="Standard"/>
    <w:pPr>
      <w:tabs>
        <w:tab w:val="left" w:pos="1134"/>
        <w:tab w:val="right" w:leader="dot" w:pos="6804"/>
        <w:tab w:val="right" w:pos="8789"/>
      </w:tabs>
      <w:ind w:firstLine="567"/>
      <w:jc w:val="both"/>
    </w:pPr>
    <w:rPr>
      <w:sz w:val="24"/>
    </w:rPr>
  </w:style>
  <w:style w:type="paragraph" w:customStyle="1" w:styleId="Normalesenzarientro">
    <w:name w:val="Normale senza rientro"/>
    <w:basedOn w:val="Base"/>
    <w:pPr>
      <w:ind w:firstLine="0"/>
    </w:pPr>
  </w:style>
  <w:style w:type="paragraph" w:styleId="Corpodeltesto2">
    <w:name w:val="Body Text 2"/>
    <w:basedOn w:val="Standard"/>
    <w:pPr>
      <w:jc w:val="both"/>
    </w:pPr>
    <w:rPr>
      <w:sz w:val="24"/>
    </w:rPr>
  </w:style>
  <w:style w:type="paragraph" w:styleId="Rientrocorpodeltesto2">
    <w:name w:val="Body Text Indent 2"/>
    <w:basedOn w:val="Standard"/>
    <w:pPr>
      <w:spacing w:line="360" w:lineRule="auto"/>
      <w:ind w:firstLine="709"/>
      <w:jc w:val="both"/>
    </w:pPr>
    <w:rPr>
      <w:sz w:val="24"/>
    </w:rPr>
  </w:style>
  <w:style w:type="paragraph" w:customStyle="1" w:styleId="Rientro2">
    <w:name w:val="Rientro 2"/>
    <w:basedOn w:val="Rientro1"/>
    <w:pPr>
      <w:numPr>
        <w:numId w:val="6"/>
      </w:numPr>
      <w:tabs>
        <w:tab w:val="clear" w:pos="1136"/>
        <w:tab w:val="clear" w:pos="8223"/>
        <w:tab w:val="clear" w:pos="10208"/>
        <w:tab w:val="left" w:pos="1986"/>
        <w:tab w:val="left" w:pos="2552"/>
        <w:tab w:val="left" w:pos="3118"/>
        <w:tab w:val="left" w:pos="4251"/>
        <w:tab w:val="right" w:pos="9073"/>
        <w:tab w:val="right" w:pos="9639"/>
        <w:tab w:val="right" w:leader="dot" w:pos="10204"/>
        <w:tab w:val="right" w:pos="10205"/>
        <w:tab w:val="right" w:pos="11058"/>
        <w:tab w:val="right" w:pos="11624"/>
        <w:tab w:val="right" w:pos="12189"/>
        <w:tab w:val="right" w:pos="12190"/>
      </w:tabs>
      <w:spacing w:before="60"/>
    </w:pPr>
  </w:style>
  <w:style w:type="paragraph" w:styleId="Testofumetto">
    <w:name w:val="Balloon Text"/>
    <w:basedOn w:val="Standard"/>
    <w:rPr>
      <w:rFonts w:ascii="Tahoma" w:eastAsia="Tahoma" w:hAnsi="Tahoma" w:cs="Tahoma"/>
      <w:sz w:val="16"/>
      <w:szCs w:val="16"/>
    </w:rPr>
  </w:style>
  <w:style w:type="paragraph" w:customStyle="1" w:styleId="PreformattedText">
    <w:name w:val="Preformatted Text"/>
    <w:basedOn w:val="Standard"/>
    <w:rPr>
      <w:rFonts w:ascii="Liberation Mono" w:eastAsia="Courier New" w:hAnsi="Liberation Mono" w:cs="Liberation Mono"/>
    </w:rPr>
  </w:style>
  <w:style w:type="character" w:customStyle="1" w:styleId="WW8Num2z0">
    <w:name w:val="WW8Num2z0"/>
    <w:rPr>
      <w:rFonts w:ascii="Symbol" w:eastAsia="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Symbol" w:eastAsia="Symbol" w:hAnsi="Symbol" w:cs="Symbol"/>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nero101">
    <w:name w:val="nero101"/>
    <w:rPr>
      <w:rFonts w:ascii="Arial" w:eastAsia="Arial" w:hAnsi="Arial" w:cs="Arial"/>
      <w:b w:val="0"/>
      <w:bCs w:val="0"/>
      <w:strike w:val="0"/>
      <w:dstrike w:val="0"/>
      <w:color w:val="000000"/>
      <w:sz w:val="15"/>
      <w:szCs w:val="15"/>
      <w:u w:val="none"/>
    </w:rPr>
  </w:style>
  <w:style w:type="character" w:customStyle="1" w:styleId="Internetlink">
    <w:name w:val="Internet link"/>
    <w:rPr>
      <w:color w:val="000080"/>
      <w:u w:val="single"/>
    </w:rPr>
  </w:style>
  <w:style w:type="numbering" w:customStyle="1" w:styleId="Outline">
    <w:name w:val="Outline"/>
    <w:basedOn w:val="Nessunelenco"/>
    <w:pPr>
      <w:numPr>
        <w:numId w:val="2"/>
      </w:numPr>
    </w:pPr>
  </w:style>
  <w:style w:type="numbering" w:customStyle="1" w:styleId="WW8Num1">
    <w:name w:val="WW8Num1"/>
    <w:basedOn w:val="Nessunelenco"/>
    <w:pPr>
      <w:numPr>
        <w:numId w:val="3"/>
      </w:numPr>
    </w:pPr>
  </w:style>
  <w:style w:type="numbering" w:customStyle="1" w:styleId="WW8Num2">
    <w:name w:val="WW8Num2"/>
    <w:basedOn w:val="Nessunelenco"/>
    <w:pPr>
      <w:numPr>
        <w:numId w:val="4"/>
      </w:numPr>
    </w:pPr>
  </w:style>
  <w:style w:type="numbering" w:customStyle="1" w:styleId="WW8Num3">
    <w:name w:val="WW8Num3"/>
    <w:basedOn w:val="Nessunelenco"/>
    <w:pPr>
      <w:numPr>
        <w:numId w:val="5"/>
      </w:numPr>
    </w:pPr>
  </w:style>
  <w:style w:type="numbering" w:customStyle="1" w:styleId="WW8Num4">
    <w:name w:val="WW8Num4"/>
    <w:basedOn w:val="Nessunelenco"/>
    <w:pPr>
      <w:numPr>
        <w:numId w:val="6"/>
      </w:numPr>
    </w:pPr>
  </w:style>
  <w:style w:type="character" w:customStyle="1" w:styleId="IntestazioneCarattere">
    <w:name w:val="Intestazione Carattere"/>
    <w:basedOn w:val="Carpredefinitoparagrafo"/>
    <w:link w:val="Intestazione"/>
    <w:uiPriority w:val="99"/>
    <w:rsid w:val="00D1353C"/>
    <w:rPr>
      <w:rFonts w:eastAsia="Times New Roman" w:cs="Times New Roman"/>
      <w:sz w:val="20"/>
      <w:szCs w:val="20"/>
      <w:lang w:bidi="ar-SA"/>
    </w:rPr>
  </w:style>
  <w:style w:type="character" w:customStyle="1" w:styleId="PidipaginaCarattere">
    <w:name w:val="Piè di pagina Carattere"/>
    <w:basedOn w:val="Carpredefinitoparagrafo"/>
    <w:link w:val="Pidipagina"/>
    <w:uiPriority w:val="99"/>
    <w:rsid w:val="007C332E"/>
    <w:rPr>
      <w:rFonts w:eastAsia="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741</Words>
  <Characters>4229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NUOVO BLOCCO OPERATORIO DELL’OSPEDALE DI VARZI: ASPETTI PROGETTUALI E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NUOVO BLOCCO OPERATORIO DELL’OSPEDALE DI VARZI: ASPETTI PROGETTUALI E</dc:title>
  <dc:creator>tuilio</dc:creator>
  <cp:lastModifiedBy>Andrea Giuseppe Turatti</cp:lastModifiedBy>
  <cp:revision>2</cp:revision>
  <cp:lastPrinted>2005-11-11T15:23:00Z</cp:lastPrinted>
  <dcterms:created xsi:type="dcterms:W3CDTF">2021-10-20T09:20:00Z</dcterms:created>
  <dcterms:modified xsi:type="dcterms:W3CDTF">2021-10-20T09:20:00Z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