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594A" w14:textId="695293E9" w:rsidR="00EC6FFD" w:rsidRPr="00EC6FFD" w:rsidRDefault="00EB225D" w:rsidP="00EC6FFD">
      <w:pPr>
        <w:pStyle w:val="Intestazione"/>
        <w:tabs>
          <w:tab w:val="clear" w:pos="9072"/>
          <w:tab w:val="right" w:pos="9214"/>
        </w:tabs>
        <w:rPr>
          <w:rFonts w:ascii="Barlow" w:hAnsi="Barlow"/>
          <w:b/>
          <w:bCs/>
          <w:color w:val="767171" w:themeColor="background2" w:themeShade="80"/>
          <w:sz w:val="20"/>
          <w:szCs w:val="20"/>
        </w:rPr>
      </w:pPr>
      <w:r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Giugno</w:t>
      </w:r>
      <w:r w:rsidR="000B0AD8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 xml:space="preserve"> </w:t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2024</w:t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</w:r>
      <w:r w:rsidR="00EC6FFD" w:rsidRPr="00EC6FFD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ab/>
        <w:t xml:space="preserve">                           ista Italia | Comunicato Stampa | </w:t>
      </w:r>
      <w:r w:rsidR="000B0AD8">
        <w:rPr>
          <w:rFonts w:ascii="Barlow" w:hAnsi="Barlow"/>
          <w:b/>
          <w:bCs/>
          <w:color w:val="767171" w:themeColor="background2" w:themeShade="80"/>
          <w:sz w:val="20"/>
          <w:szCs w:val="20"/>
        </w:rPr>
        <w:t>Contabilizzazione</w:t>
      </w:r>
    </w:p>
    <w:p w14:paraId="3F482E5D" w14:textId="77777777" w:rsidR="00EC6FFD" w:rsidRPr="000B0AD8" w:rsidRDefault="00EC6FFD" w:rsidP="00FF66E2">
      <w:pPr>
        <w:pStyle w:val="Standard"/>
        <w:jc w:val="both"/>
        <w:rPr>
          <w:rFonts w:ascii="Barlow" w:hAnsi="Barlow"/>
          <w:b/>
          <w:bCs/>
          <w:sz w:val="22"/>
          <w:szCs w:val="22"/>
        </w:rPr>
      </w:pPr>
    </w:p>
    <w:p w14:paraId="4143D0F7" w14:textId="2A65D75D" w:rsidR="000B0AD8" w:rsidRPr="00687BF9" w:rsidRDefault="00687BF9" w:rsidP="003206D5">
      <w:pPr>
        <w:jc w:val="both"/>
        <w:rPr>
          <w:rFonts w:ascii="Barlow" w:hAnsi="Barlow"/>
          <w:b/>
          <w:bCs/>
          <w:sz w:val="28"/>
          <w:szCs w:val="28"/>
        </w:rPr>
      </w:pPr>
      <w:r w:rsidRPr="00687BF9">
        <w:rPr>
          <w:rFonts w:ascii="Barlow" w:hAnsi="Barlow"/>
          <w:b/>
          <w:bCs/>
          <w:sz w:val="28"/>
          <w:szCs w:val="28"/>
        </w:rPr>
        <w:t>i</w:t>
      </w:r>
      <w:r w:rsidR="000B0AD8" w:rsidRPr="00687BF9">
        <w:rPr>
          <w:rFonts w:ascii="Barlow" w:hAnsi="Barlow"/>
          <w:b/>
          <w:bCs/>
          <w:sz w:val="28"/>
          <w:szCs w:val="28"/>
        </w:rPr>
        <w:t xml:space="preserve">sta Italia presenta </w:t>
      </w:r>
      <w:r w:rsidRPr="00687BF9">
        <w:rPr>
          <w:rFonts w:ascii="Barlow" w:hAnsi="Barlow"/>
          <w:b/>
          <w:bCs/>
          <w:sz w:val="28"/>
          <w:szCs w:val="28"/>
        </w:rPr>
        <w:t>“triple mode”</w:t>
      </w:r>
      <w:r w:rsidR="000B0AD8" w:rsidRPr="00687BF9">
        <w:rPr>
          <w:rFonts w:ascii="Barlow" w:hAnsi="Barlow"/>
          <w:b/>
          <w:bCs/>
          <w:sz w:val="28"/>
          <w:szCs w:val="28"/>
        </w:rPr>
        <w:t>:</w:t>
      </w:r>
      <w:r w:rsidRPr="00687BF9">
        <w:rPr>
          <w:rFonts w:ascii="Barlow" w:hAnsi="Barlow"/>
          <w:b/>
          <w:bCs/>
          <w:sz w:val="28"/>
          <w:szCs w:val="28"/>
        </w:rPr>
        <w:t xml:space="preserve"> </w:t>
      </w:r>
      <w:r w:rsidR="000B0AD8" w:rsidRPr="00687BF9">
        <w:rPr>
          <w:rFonts w:ascii="Barlow" w:hAnsi="Barlow"/>
          <w:b/>
          <w:bCs/>
          <w:sz w:val="28"/>
          <w:szCs w:val="28"/>
        </w:rPr>
        <w:t>l’upgrade tecnologico per la lettura dei consumi</w:t>
      </w:r>
    </w:p>
    <w:p w14:paraId="641851F9" w14:textId="77777777" w:rsidR="000B0AD8" w:rsidRPr="000B0AD8" w:rsidRDefault="000B0AD8" w:rsidP="003206D5">
      <w:pPr>
        <w:jc w:val="both"/>
        <w:rPr>
          <w:rFonts w:ascii="Barlow" w:eastAsia="F0" w:hAnsi="Barlow"/>
          <w:sz w:val="22"/>
          <w:szCs w:val="22"/>
        </w:rPr>
      </w:pPr>
    </w:p>
    <w:p w14:paraId="140DAEC0" w14:textId="77777777" w:rsidR="000B0AD8" w:rsidRDefault="000B0AD8" w:rsidP="003206D5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L’</w:t>
      </w:r>
      <w:r w:rsidRPr="000B0AD8">
        <w:rPr>
          <w:rFonts w:ascii="Barlow" w:eastAsia="F0" w:hAnsi="Barlow"/>
          <w:sz w:val="22"/>
          <w:szCs w:val="22"/>
        </w:rPr>
        <w:t xml:space="preserve">evoluzione tecnologica </w:t>
      </w:r>
      <w:r>
        <w:rPr>
          <w:rFonts w:ascii="Barlow" w:eastAsia="F0" w:hAnsi="Barlow"/>
          <w:sz w:val="22"/>
          <w:szCs w:val="22"/>
        </w:rPr>
        <w:t xml:space="preserve">nella lettura dei consumi per il riscaldamento domestico </w:t>
      </w:r>
      <w:r w:rsidRPr="000B0AD8">
        <w:rPr>
          <w:rFonts w:ascii="Barlow" w:eastAsia="F0" w:hAnsi="Barlow"/>
          <w:sz w:val="22"/>
          <w:szCs w:val="22"/>
        </w:rPr>
        <w:t xml:space="preserve">e l’introduzione di norme specifiche hanno radicalmente trasformato </w:t>
      </w:r>
      <w:r>
        <w:rPr>
          <w:rFonts w:ascii="Barlow" w:eastAsia="F0" w:hAnsi="Barlow"/>
          <w:sz w:val="22"/>
          <w:szCs w:val="22"/>
        </w:rPr>
        <w:t>la raccolta delle informazioni necessarie per ripartire correttamente i costi connessi al consumo di energia, consentendo di superare i</w:t>
      </w:r>
      <w:r w:rsidRPr="000B0AD8">
        <w:rPr>
          <w:rFonts w:ascii="Barlow" w:eastAsia="F0" w:hAnsi="Barlow"/>
          <w:sz w:val="22"/>
          <w:szCs w:val="22"/>
        </w:rPr>
        <w:t xml:space="preserve"> problemi connessi non solo alla privacy e alla sicurezza degli utenti, ma anche all’efficacia dei sopralluoghi e quindi all’uniformità della raccolta dei dati.</w:t>
      </w:r>
    </w:p>
    <w:p w14:paraId="6BF5C7CD" w14:textId="77777777" w:rsidR="000B0AD8" w:rsidRDefault="000B0AD8" w:rsidP="003206D5">
      <w:pPr>
        <w:jc w:val="both"/>
        <w:rPr>
          <w:rFonts w:ascii="Barlow" w:eastAsia="F0" w:hAnsi="Barlow"/>
          <w:sz w:val="22"/>
          <w:szCs w:val="22"/>
        </w:rPr>
      </w:pPr>
    </w:p>
    <w:p w14:paraId="778AC7DC" w14:textId="6535A3D4" w:rsidR="001A23B7" w:rsidRDefault="001A23B7" w:rsidP="003206D5">
      <w:pPr>
        <w:jc w:val="both"/>
        <w:rPr>
          <w:rFonts w:ascii="Barlow" w:eastAsia="F0" w:hAnsi="Barlow"/>
          <w:sz w:val="22"/>
          <w:szCs w:val="22"/>
        </w:rPr>
      </w:pPr>
      <w:r w:rsidRPr="00687BF9">
        <w:rPr>
          <w:rFonts w:ascii="Barlow" w:eastAsia="F0" w:hAnsi="Barlow"/>
          <w:b/>
          <w:bCs/>
          <w:sz w:val="22"/>
          <w:szCs w:val="22"/>
        </w:rPr>
        <w:t>ista Italia</w:t>
      </w:r>
      <w:r w:rsidRPr="00687BF9">
        <w:rPr>
          <w:rFonts w:ascii="Barlow" w:eastAsia="F0" w:hAnsi="Barlow"/>
          <w:sz w:val="22"/>
          <w:szCs w:val="22"/>
        </w:rPr>
        <w:t xml:space="preserve">, </w:t>
      </w:r>
      <w:r w:rsidR="00E56202" w:rsidRPr="00687BF9">
        <w:rPr>
          <w:rFonts w:ascii="Barlow" w:eastAsia="F0" w:hAnsi="Barlow"/>
          <w:sz w:val="22"/>
          <w:szCs w:val="22"/>
        </w:rPr>
        <w:t xml:space="preserve">che attraverso lo sviluppo dei suoi sistemi </w:t>
      </w:r>
      <w:r w:rsidR="00575310">
        <w:rPr>
          <w:rFonts w:ascii="Barlow" w:eastAsia="F0" w:hAnsi="Barlow"/>
          <w:sz w:val="22"/>
          <w:szCs w:val="22"/>
        </w:rPr>
        <w:t>di</w:t>
      </w:r>
      <w:r w:rsidR="00E56202" w:rsidRPr="00687BF9">
        <w:rPr>
          <w:rFonts w:ascii="Barlow" w:eastAsia="F0" w:hAnsi="Barlow"/>
          <w:sz w:val="22"/>
          <w:szCs w:val="22"/>
        </w:rPr>
        <w:t xml:space="preserve"> lettura e controllo è </w:t>
      </w:r>
      <w:r w:rsidR="00687BF9">
        <w:rPr>
          <w:rFonts w:ascii="Barlow" w:eastAsia="F0" w:hAnsi="Barlow"/>
          <w:sz w:val="22"/>
          <w:szCs w:val="22"/>
        </w:rPr>
        <w:t>t</w:t>
      </w:r>
      <w:r w:rsidRPr="00687BF9">
        <w:rPr>
          <w:rFonts w:ascii="Barlow" w:eastAsia="F0" w:hAnsi="Barlow"/>
          <w:sz w:val="22"/>
          <w:szCs w:val="22"/>
        </w:rPr>
        <w:t xml:space="preserve">ra i principali protagonisti di questa trasformazione, ha recentemente </w:t>
      </w:r>
      <w:r w:rsidR="00687BF9">
        <w:rPr>
          <w:rFonts w:ascii="Barlow" w:eastAsia="F0" w:hAnsi="Barlow"/>
          <w:sz w:val="22"/>
          <w:szCs w:val="22"/>
        </w:rPr>
        <w:t xml:space="preserve">presentato l’upgrade tecnologico </w:t>
      </w:r>
      <w:r w:rsidR="00687BF9">
        <w:rPr>
          <w:rFonts w:ascii="Barlow" w:eastAsia="F0" w:hAnsi="Barlow"/>
          <w:b/>
          <w:bCs/>
          <w:sz w:val="22"/>
          <w:szCs w:val="22"/>
        </w:rPr>
        <w:t>“</w:t>
      </w:r>
      <w:r w:rsidR="00687BF9" w:rsidRPr="001A23B7">
        <w:rPr>
          <w:rFonts w:ascii="Barlow" w:eastAsia="F0" w:hAnsi="Barlow"/>
          <w:b/>
          <w:bCs/>
          <w:i/>
          <w:iCs/>
          <w:sz w:val="22"/>
          <w:szCs w:val="22"/>
        </w:rPr>
        <w:t>triple mode</w:t>
      </w:r>
      <w:r w:rsidR="00687BF9">
        <w:rPr>
          <w:rFonts w:ascii="Barlow" w:eastAsia="F0" w:hAnsi="Barlow"/>
          <w:b/>
          <w:bCs/>
          <w:sz w:val="22"/>
          <w:szCs w:val="22"/>
        </w:rPr>
        <w:t xml:space="preserve">” </w:t>
      </w:r>
      <w:r w:rsidR="00687BF9">
        <w:rPr>
          <w:rFonts w:ascii="Barlow" w:eastAsia="F0" w:hAnsi="Barlow"/>
          <w:sz w:val="22"/>
          <w:szCs w:val="22"/>
        </w:rPr>
        <w:t xml:space="preserve">che </w:t>
      </w:r>
      <w:r w:rsidR="003206D5">
        <w:rPr>
          <w:rFonts w:ascii="Barlow" w:eastAsia="F0" w:hAnsi="Barlow"/>
          <w:sz w:val="22"/>
          <w:szCs w:val="22"/>
        </w:rPr>
        <w:t xml:space="preserve">consente </w:t>
      </w:r>
      <w:r w:rsidR="00687BF9">
        <w:rPr>
          <w:rFonts w:ascii="Barlow" w:eastAsia="F0" w:hAnsi="Barlow"/>
          <w:sz w:val="22"/>
          <w:szCs w:val="22"/>
        </w:rPr>
        <w:t>di effettuare</w:t>
      </w:r>
      <w:r w:rsidR="00687BF9" w:rsidRPr="000B0AD8">
        <w:rPr>
          <w:rFonts w:ascii="Barlow" w:eastAsia="F0" w:hAnsi="Barlow"/>
          <w:sz w:val="22"/>
          <w:szCs w:val="22"/>
        </w:rPr>
        <w:t xml:space="preserve"> la lettura </w:t>
      </w:r>
      <w:r w:rsidR="00687BF9">
        <w:rPr>
          <w:rFonts w:ascii="Barlow" w:eastAsia="F0" w:hAnsi="Barlow"/>
          <w:sz w:val="22"/>
          <w:szCs w:val="22"/>
        </w:rPr>
        <w:t>dei dati</w:t>
      </w:r>
      <w:r w:rsidR="003206D5">
        <w:rPr>
          <w:rFonts w:ascii="Barlow" w:eastAsia="F0" w:hAnsi="Barlow"/>
          <w:sz w:val="22"/>
          <w:szCs w:val="22"/>
        </w:rPr>
        <w:t xml:space="preserve">, oltre che attraverso </w:t>
      </w:r>
      <w:r w:rsidR="003206D5">
        <w:rPr>
          <w:rFonts w:ascii="Barlow" w:hAnsi="Barlow"/>
          <w:color w:val="000000"/>
          <w:sz w:val="22"/>
          <w:szCs w:val="22"/>
        </w:rPr>
        <w:t xml:space="preserve">le attuali </w:t>
      </w:r>
      <w:r w:rsidR="003206D5" w:rsidRPr="003206D5">
        <w:rPr>
          <w:rFonts w:ascii="Barlow" w:hAnsi="Barlow"/>
          <w:color w:val="000000"/>
          <w:sz w:val="22"/>
          <w:szCs w:val="22"/>
        </w:rPr>
        <w:t xml:space="preserve">modalità </w:t>
      </w:r>
      <w:proofErr w:type="spellStart"/>
      <w:r w:rsidR="003206D5" w:rsidRPr="003206D5">
        <w:rPr>
          <w:rFonts w:ascii="Barlow" w:hAnsi="Barlow"/>
          <w:color w:val="000000"/>
          <w:sz w:val="22"/>
          <w:szCs w:val="22"/>
        </w:rPr>
        <w:t>walk</w:t>
      </w:r>
      <w:proofErr w:type="spellEnd"/>
      <w:r w:rsidR="003206D5" w:rsidRPr="003206D5">
        <w:rPr>
          <w:rFonts w:ascii="Barlow" w:hAnsi="Barlow"/>
          <w:color w:val="000000"/>
          <w:sz w:val="22"/>
          <w:szCs w:val="22"/>
        </w:rPr>
        <w:t xml:space="preserve"> by</w:t>
      </w:r>
      <w:r w:rsidR="003206D5">
        <w:rPr>
          <w:rFonts w:ascii="Barlow" w:hAnsi="Barlow"/>
          <w:color w:val="000000"/>
          <w:sz w:val="22"/>
          <w:szCs w:val="22"/>
        </w:rPr>
        <w:t xml:space="preserve"> (</w:t>
      </w:r>
      <w:r w:rsidR="003206D5" w:rsidRPr="003206D5">
        <w:rPr>
          <w:rFonts w:ascii="Barlow" w:hAnsi="Barlow"/>
          <w:color w:val="000000"/>
          <w:sz w:val="22"/>
          <w:szCs w:val="22"/>
        </w:rPr>
        <w:t>con tablet dalle scale o comunque nei pressi del condominio</w:t>
      </w:r>
      <w:r w:rsidR="003206D5">
        <w:rPr>
          <w:rFonts w:ascii="Barlow" w:hAnsi="Barlow"/>
          <w:color w:val="000000"/>
          <w:sz w:val="22"/>
          <w:szCs w:val="22"/>
        </w:rPr>
        <w:t xml:space="preserve">) e </w:t>
      </w:r>
      <w:r w:rsidR="003206D5" w:rsidRPr="003206D5">
        <w:rPr>
          <w:rFonts w:ascii="Barlow" w:hAnsi="Barlow"/>
          <w:color w:val="000000"/>
          <w:sz w:val="22"/>
          <w:szCs w:val="22"/>
        </w:rPr>
        <w:t>via radio a distanza senza accesso al condominio</w:t>
      </w:r>
      <w:r w:rsidR="003206D5">
        <w:rPr>
          <w:rFonts w:ascii="Barlow" w:hAnsi="Barlow"/>
          <w:color w:val="000000"/>
          <w:sz w:val="22"/>
          <w:szCs w:val="22"/>
        </w:rPr>
        <w:t xml:space="preserve"> (attraverso il </w:t>
      </w:r>
      <w:r w:rsidR="003206D5" w:rsidRPr="003206D5">
        <w:rPr>
          <w:rFonts w:ascii="Barlow" w:hAnsi="Barlow"/>
          <w:color w:val="000000"/>
          <w:sz w:val="22"/>
          <w:szCs w:val="22"/>
        </w:rPr>
        <w:t xml:space="preserve">sistema radio </w:t>
      </w:r>
      <w:r w:rsidR="003206D5" w:rsidRPr="003206D5">
        <w:rPr>
          <w:rFonts w:ascii="Barlow" w:hAnsi="Barlow"/>
          <w:b/>
          <w:bCs/>
          <w:color w:val="000000"/>
          <w:sz w:val="22"/>
          <w:szCs w:val="22"/>
        </w:rPr>
        <w:t xml:space="preserve">ista symphonic </w:t>
      </w:r>
      <w:proofErr w:type="spellStart"/>
      <w:r w:rsidR="003206D5" w:rsidRPr="003206D5">
        <w:rPr>
          <w:rFonts w:ascii="Barlow" w:hAnsi="Barlow"/>
          <w:b/>
          <w:bCs/>
          <w:color w:val="000000"/>
          <w:sz w:val="22"/>
          <w:szCs w:val="22"/>
        </w:rPr>
        <w:t>sensor</w:t>
      </w:r>
      <w:proofErr w:type="spellEnd"/>
      <w:r w:rsidR="003206D5" w:rsidRPr="003206D5">
        <w:rPr>
          <w:rFonts w:ascii="Barlow" w:hAnsi="Barlow"/>
          <w:b/>
          <w:bCs/>
          <w:color w:val="000000"/>
          <w:sz w:val="22"/>
          <w:szCs w:val="22"/>
        </w:rPr>
        <w:t xml:space="preserve"> net</w:t>
      </w:r>
      <w:r w:rsidR="003206D5" w:rsidRPr="003206D5">
        <w:rPr>
          <w:rFonts w:ascii="Barlow" w:hAnsi="Barlow"/>
          <w:color w:val="000000"/>
          <w:sz w:val="22"/>
          <w:szCs w:val="22"/>
        </w:rPr>
        <w:t xml:space="preserve">) </w:t>
      </w:r>
      <w:r w:rsidR="00687BF9" w:rsidRPr="000B0AD8">
        <w:rPr>
          <w:rFonts w:ascii="Barlow" w:eastAsia="F0" w:hAnsi="Barlow"/>
          <w:sz w:val="22"/>
          <w:szCs w:val="22"/>
        </w:rPr>
        <w:t xml:space="preserve">anche </w:t>
      </w:r>
      <w:r w:rsidR="00575310">
        <w:rPr>
          <w:rFonts w:ascii="Barlow" w:eastAsia="F0" w:hAnsi="Barlow"/>
          <w:b/>
          <w:bCs/>
          <w:sz w:val="22"/>
          <w:szCs w:val="22"/>
        </w:rPr>
        <w:t>tramite il protocollo di trasmissione</w:t>
      </w:r>
      <w:r w:rsidR="00687BF9" w:rsidRPr="003206D5">
        <w:rPr>
          <w:rFonts w:ascii="Barlow" w:eastAsia="F0" w:hAnsi="Barlow"/>
          <w:b/>
          <w:bCs/>
          <w:sz w:val="22"/>
          <w:szCs w:val="22"/>
        </w:rPr>
        <w:t xml:space="preserve"> OMS (Open Metering System)</w:t>
      </w:r>
      <w:r w:rsidR="00687BF9">
        <w:rPr>
          <w:rFonts w:ascii="Barlow" w:eastAsia="F0" w:hAnsi="Barlow"/>
          <w:sz w:val="22"/>
          <w:szCs w:val="22"/>
        </w:rPr>
        <w:t xml:space="preserve">, </w:t>
      </w:r>
      <w:r w:rsidR="00687BF9" w:rsidRPr="00687BF9">
        <w:rPr>
          <w:rFonts w:ascii="Barlow" w:eastAsia="F0" w:hAnsi="Barlow"/>
          <w:sz w:val="22"/>
          <w:szCs w:val="22"/>
        </w:rPr>
        <w:t>ampliando ulteriormente le potenzialità di acquisizione dei dati di consumo</w:t>
      </w:r>
      <w:r w:rsidR="003206D5">
        <w:rPr>
          <w:rFonts w:ascii="Barlow" w:eastAsia="F0" w:hAnsi="Barlow"/>
          <w:sz w:val="22"/>
          <w:szCs w:val="22"/>
        </w:rPr>
        <w:t xml:space="preserve"> del contabilizzatore </w:t>
      </w:r>
      <w:r w:rsidR="003206D5" w:rsidRPr="001A23B7">
        <w:rPr>
          <w:rFonts w:ascii="Barlow" w:eastAsia="F0" w:hAnsi="Barlow"/>
          <w:b/>
          <w:bCs/>
          <w:sz w:val="22"/>
          <w:szCs w:val="22"/>
        </w:rPr>
        <w:t>doprimo 3 radio net</w:t>
      </w:r>
      <w:r w:rsidR="00687BF9">
        <w:rPr>
          <w:rFonts w:ascii="Barlow" w:eastAsia="F0" w:hAnsi="Barlow"/>
          <w:b/>
          <w:bCs/>
          <w:sz w:val="22"/>
          <w:szCs w:val="22"/>
        </w:rPr>
        <w:t>.</w:t>
      </w:r>
    </w:p>
    <w:p w14:paraId="172B37BD" w14:textId="77777777" w:rsidR="001A23B7" w:rsidRPr="000B0AD8" w:rsidRDefault="001A23B7" w:rsidP="003206D5">
      <w:pPr>
        <w:jc w:val="both"/>
        <w:rPr>
          <w:rFonts w:ascii="Barlow" w:hAnsi="Barlow"/>
          <w:sz w:val="22"/>
          <w:szCs w:val="22"/>
        </w:rPr>
      </w:pPr>
    </w:p>
    <w:p w14:paraId="0FBCA415" w14:textId="14E70AD9" w:rsidR="000B0AD8" w:rsidRDefault="00E56202" w:rsidP="003206D5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La </w:t>
      </w:r>
      <w:r w:rsidR="000B0AD8" w:rsidRPr="000B0AD8">
        <w:rPr>
          <w:rFonts w:ascii="Barlow" w:eastAsia="F0" w:hAnsi="Barlow"/>
          <w:sz w:val="22"/>
          <w:szCs w:val="22"/>
        </w:rPr>
        <w:t>nuov</w:t>
      </w:r>
      <w:r>
        <w:rPr>
          <w:rFonts w:ascii="Barlow" w:eastAsia="F0" w:hAnsi="Barlow"/>
          <w:sz w:val="22"/>
          <w:szCs w:val="22"/>
        </w:rPr>
        <w:t xml:space="preserve">a versione </w:t>
      </w:r>
      <w:r w:rsidR="000B0AD8" w:rsidRPr="00E56202">
        <w:rPr>
          <w:rFonts w:ascii="Barlow" w:eastAsia="F0" w:hAnsi="Barlow"/>
          <w:b/>
          <w:bCs/>
          <w:i/>
          <w:iCs/>
          <w:sz w:val="22"/>
          <w:szCs w:val="22"/>
        </w:rPr>
        <w:t>“triple mode”</w:t>
      </w:r>
      <w:r>
        <w:rPr>
          <w:rFonts w:ascii="Barlow" w:eastAsia="F0" w:hAnsi="Barlow"/>
          <w:sz w:val="22"/>
          <w:szCs w:val="22"/>
        </w:rPr>
        <w:t xml:space="preserve"> consente, infatti, la lettura anche </w:t>
      </w:r>
      <w:r w:rsidR="000B0AD8" w:rsidRPr="000B0AD8">
        <w:rPr>
          <w:rFonts w:ascii="Barlow" w:eastAsia="F0" w:hAnsi="Barlow"/>
          <w:sz w:val="22"/>
          <w:szCs w:val="22"/>
        </w:rPr>
        <w:t>da parte di operatori terzi</w:t>
      </w:r>
      <w:r>
        <w:rPr>
          <w:rFonts w:ascii="Barlow" w:eastAsia="F0" w:hAnsi="Barlow"/>
          <w:sz w:val="22"/>
          <w:szCs w:val="22"/>
        </w:rPr>
        <w:t xml:space="preserve"> che</w:t>
      </w:r>
      <w:r w:rsidR="000B0AD8" w:rsidRPr="000B0AD8">
        <w:rPr>
          <w:rFonts w:ascii="Barlow" w:eastAsia="F0" w:hAnsi="Barlow"/>
          <w:sz w:val="22"/>
          <w:szCs w:val="22"/>
        </w:rPr>
        <w:t xml:space="preserve">, </w:t>
      </w:r>
      <w:r>
        <w:rPr>
          <w:rFonts w:ascii="Barlow" w:eastAsia="F0" w:hAnsi="Barlow"/>
          <w:sz w:val="22"/>
          <w:szCs w:val="22"/>
        </w:rPr>
        <w:t xml:space="preserve">attraverso una chiave di lettura fornita </w:t>
      </w:r>
      <w:r w:rsidR="000B0AD8" w:rsidRPr="000B0AD8">
        <w:rPr>
          <w:rFonts w:ascii="Barlow" w:eastAsia="F0" w:hAnsi="Barlow"/>
          <w:sz w:val="22"/>
          <w:szCs w:val="22"/>
        </w:rPr>
        <w:t>dal proprietario e/o dall’amministratore condominiale</w:t>
      </w:r>
      <w:r>
        <w:rPr>
          <w:rFonts w:ascii="Barlow" w:eastAsia="F0" w:hAnsi="Barlow"/>
          <w:sz w:val="22"/>
          <w:szCs w:val="22"/>
        </w:rPr>
        <w:t xml:space="preserve">, </w:t>
      </w:r>
      <w:r w:rsidR="000B0AD8" w:rsidRPr="000B0AD8">
        <w:rPr>
          <w:rFonts w:ascii="Barlow" w:eastAsia="F0" w:hAnsi="Barlow"/>
          <w:sz w:val="22"/>
          <w:szCs w:val="22"/>
        </w:rPr>
        <w:t xml:space="preserve">possono leggere in autonomia i dati trasmessi via radio da </w:t>
      </w:r>
      <w:r w:rsidR="000B0AD8" w:rsidRPr="00E56202">
        <w:rPr>
          <w:rFonts w:ascii="Barlow" w:eastAsia="F0" w:hAnsi="Barlow"/>
          <w:b/>
          <w:bCs/>
          <w:sz w:val="22"/>
          <w:szCs w:val="22"/>
        </w:rPr>
        <w:t>doprimo 3 radio net</w:t>
      </w:r>
      <w:r>
        <w:rPr>
          <w:rFonts w:ascii="Barlow" w:eastAsia="F0" w:hAnsi="Barlow"/>
          <w:sz w:val="22"/>
          <w:szCs w:val="22"/>
        </w:rPr>
        <w:t xml:space="preserve">, </w:t>
      </w:r>
      <w:r w:rsidR="000B0AD8" w:rsidRPr="000B0AD8">
        <w:rPr>
          <w:rFonts w:ascii="Barlow" w:eastAsia="F0" w:hAnsi="Barlow"/>
          <w:sz w:val="22"/>
          <w:szCs w:val="22"/>
        </w:rPr>
        <w:t>utilizza</w:t>
      </w:r>
      <w:r>
        <w:rPr>
          <w:rFonts w:ascii="Barlow" w:eastAsia="F0" w:hAnsi="Barlow"/>
          <w:sz w:val="22"/>
          <w:szCs w:val="22"/>
        </w:rPr>
        <w:t xml:space="preserve">ndoli </w:t>
      </w:r>
      <w:r w:rsidR="000B0AD8" w:rsidRPr="000B0AD8">
        <w:rPr>
          <w:rFonts w:ascii="Barlow" w:eastAsia="F0" w:hAnsi="Barlow"/>
          <w:sz w:val="22"/>
          <w:szCs w:val="22"/>
        </w:rPr>
        <w:t>per la propria attività</w:t>
      </w:r>
      <w:r>
        <w:rPr>
          <w:rFonts w:ascii="Barlow" w:eastAsia="F0" w:hAnsi="Barlow"/>
          <w:sz w:val="22"/>
          <w:szCs w:val="22"/>
        </w:rPr>
        <w:t>.</w:t>
      </w:r>
    </w:p>
    <w:p w14:paraId="108F220C" w14:textId="77777777" w:rsidR="00E56202" w:rsidRPr="000B0AD8" w:rsidRDefault="00E56202" w:rsidP="003206D5">
      <w:pPr>
        <w:jc w:val="both"/>
        <w:rPr>
          <w:rFonts w:ascii="Barlow" w:hAnsi="Barlow"/>
          <w:sz w:val="22"/>
          <w:szCs w:val="22"/>
        </w:rPr>
      </w:pPr>
    </w:p>
    <w:p w14:paraId="52EF7F03" w14:textId="2BA41C64" w:rsidR="000B0AD8" w:rsidRPr="000B0AD8" w:rsidRDefault="000B0AD8" w:rsidP="003206D5">
      <w:pPr>
        <w:jc w:val="both"/>
        <w:rPr>
          <w:rFonts w:ascii="Barlow" w:hAnsi="Barlow"/>
          <w:sz w:val="22"/>
          <w:szCs w:val="22"/>
        </w:rPr>
      </w:pPr>
      <w:r w:rsidRPr="000B0AD8">
        <w:rPr>
          <w:rFonts w:ascii="Barlow" w:eastAsia="F0" w:hAnsi="Barlow"/>
          <w:sz w:val="22"/>
          <w:szCs w:val="22"/>
        </w:rPr>
        <w:t xml:space="preserve">L’innovativa modalità </w:t>
      </w:r>
      <w:r w:rsidR="00E56202">
        <w:rPr>
          <w:rFonts w:ascii="Barlow" w:eastAsia="F0" w:hAnsi="Barlow"/>
          <w:sz w:val="22"/>
          <w:szCs w:val="22"/>
        </w:rPr>
        <w:t xml:space="preserve">di lettura </w:t>
      </w:r>
      <w:r w:rsidR="00575310">
        <w:rPr>
          <w:rFonts w:ascii="Barlow" w:eastAsia="F0" w:hAnsi="Barlow"/>
          <w:sz w:val="22"/>
          <w:szCs w:val="22"/>
        </w:rPr>
        <w:t>tramite il protocollo di trasmissione</w:t>
      </w:r>
      <w:r w:rsidR="00E56202" w:rsidRPr="000B0AD8">
        <w:rPr>
          <w:rFonts w:ascii="Barlow" w:eastAsia="F0" w:hAnsi="Barlow"/>
          <w:sz w:val="22"/>
          <w:szCs w:val="22"/>
        </w:rPr>
        <w:t xml:space="preserve"> </w:t>
      </w:r>
      <w:r w:rsidRPr="000B0AD8">
        <w:rPr>
          <w:rFonts w:ascii="Barlow" w:eastAsia="F0" w:hAnsi="Barlow"/>
          <w:sz w:val="22"/>
          <w:szCs w:val="22"/>
        </w:rPr>
        <w:t>OMS</w:t>
      </w:r>
      <w:r w:rsidR="003D5A1D">
        <w:rPr>
          <w:rFonts w:ascii="Barlow" w:eastAsia="F0" w:hAnsi="Barlow"/>
          <w:sz w:val="22"/>
          <w:szCs w:val="22"/>
        </w:rPr>
        <w:t xml:space="preserve">, che si aggiunge agli altri attuali sistemi di lettura, </w:t>
      </w:r>
      <w:r w:rsidRPr="000B0AD8">
        <w:rPr>
          <w:rFonts w:ascii="Barlow" w:eastAsia="F0" w:hAnsi="Barlow"/>
          <w:sz w:val="22"/>
          <w:szCs w:val="22"/>
        </w:rPr>
        <w:t xml:space="preserve">consente agli utenti la libera scelta del soggetto a cui affidare il servizio di raccolta dei dati di consumo e di contabilizzazione delle spese per il riscaldamento, senza </w:t>
      </w:r>
      <w:r w:rsidR="00E56202">
        <w:rPr>
          <w:rFonts w:ascii="Barlow" w:eastAsia="F0" w:hAnsi="Barlow"/>
          <w:sz w:val="22"/>
          <w:szCs w:val="22"/>
        </w:rPr>
        <w:t xml:space="preserve">dover rinunciare </w:t>
      </w:r>
      <w:r w:rsidR="00575310">
        <w:rPr>
          <w:rFonts w:ascii="Barlow" w:eastAsia="F0" w:hAnsi="Barlow"/>
          <w:sz w:val="22"/>
          <w:szCs w:val="22"/>
        </w:rPr>
        <w:t xml:space="preserve">ad alcuni </w:t>
      </w:r>
      <w:r w:rsidRPr="000B0AD8">
        <w:rPr>
          <w:rFonts w:ascii="Barlow" w:eastAsia="F0" w:hAnsi="Barlow"/>
          <w:sz w:val="22"/>
          <w:szCs w:val="22"/>
        </w:rPr>
        <w:t xml:space="preserve">vantaggi tipici dei sistemi </w:t>
      </w:r>
      <w:r w:rsidR="00E56202">
        <w:rPr>
          <w:rFonts w:ascii="Barlow" w:eastAsia="F0" w:hAnsi="Barlow"/>
          <w:sz w:val="22"/>
          <w:szCs w:val="22"/>
        </w:rPr>
        <w:t xml:space="preserve">proposti da </w:t>
      </w:r>
      <w:r w:rsidRPr="00E56202">
        <w:rPr>
          <w:rFonts w:ascii="Barlow" w:eastAsia="F0" w:hAnsi="Barlow"/>
          <w:b/>
          <w:bCs/>
          <w:sz w:val="22"/>
          <w:szCs w:val="22"/>
        </w:rPr>
        <w:t>ista</w:t>
      </w:r>
      <w:r w:rsidR="00E56202" w:rsidRPr="00E56202">
        <w:rPr>
          <w:rFonts w:ascii="Barlow" w:eastAsia="F0" w:hAnsi="Barlow"/>
          <w:b/>
          <w:bCs/>
          <w:sz w:val="22"/>
          <w:szCs w:val="22"/>
        </w:rPr>
        <w:t xml:space="preserve"> Italia</w:t>
      </w:r>
      <w:r w:rsidRPr="000B0AD8">
        <w:rPr>
          <w:rFonts w:ascii="Barlow" w:eastAsia="F0" w:hAnsi="Barlow"/>
          <w:sz w:val="22"/>
          <w:szCs w:val="22"/>
        </w:rPr>
        <w:t>: precisione, trasparenza e riservatezza.</w:t>
      </w:r>
    </w:p>
    <w:p w14:paraId="24F79F58" w14:textId="77777777" w:rsidR="00E56202" w:rsidRDefault="00E56202" w:rsidP="003206D5">
      <w:pPr>
        <w:jc w:val="both"/>
        <w:rPr>
          <w:rFonts w:ascii="Barlow" w:eastAsia="F0" w:hAnsi="Barlow"/>
          <w:sz w:val="22"/>
          <w:szCs w:val="22"/>
        </w:rPr>
      </w:pPr>
    </w:p>
    <w:p w14:paraId="0A239722" w14:textId="551EEC14" w:rsidR="003D5A1D" w:rsidRDefault="000B0AD8" w:rsidP="003206D5">
      <w:pPr>
        <w:jc w:val="both"/>
        <w:rPr>
          <w:rFonts w:ascii="Barlow" w:eastAsia="F0" w:hAnsi="Barlow"/>
          <w:sz w:val="22"/>
          <w:szCs w:val="22"/>
        </w:rPr>
      </w:pPr>
      <w:r w:rsidRPr="000B0AD8">
        <w:rPr>
          <w:rFonts w:ascii="Barlow" w:eastAsia="F0" w:hAnsi="Barlow"/>
          <w:sz w:val="22"/>
          <w:szCs w:val="22"/>
        </w:rPr>
        <w:t xml:space="preserve">Presente in milioni di unità abitative in tutta Europa, </w:t>
      </w:r>
      <w:r w:rsidRPr="003D5A1D">
        <w:rPr>
          <w:rFonts w:ascii="Barlow" w:eastAsia="F0" w:hAnsi="Barlow"/>
          <w:b/>
          <w:bCs/>
          <w:sz w:val="22"/>
          <w:szCs w:val="22"/>
        </w:rPr>
        <w:t xml:space="preserve">doprimo 3 radio net </w:t>
      </w:r>
      <w:r w:rsidR="003D5A1D" w:rsidRPr="003D5A1D">
        <w:rPr>
          <w:rFonts w:ascii="Barlow" w:eastAsia="F0" w:hAnsi="Barlow"/>
          <w:b/>
          <w:bCs/>
          <w:sz w:val="22"/>
          <w:szCs w:val="22"/>
        </w:rPr>
        <w:t>di ista Italia</w:t>
      </w:r>
      <w:r w:rsidR="003D5A1D">
        <w:rPr>
          <w:rFonts w:ascii="Barlow" w:eastAsia="F0" w:hAnsi="Barlow"/>
          <w:sz w:val="22"/>
          <w:szCs w:val="22"/>
        </w:rPr>
        <w:t xml:space="preserve"> </w:t>
      </w:r>
      <w:r w:rsidRPr="000B0AD8">
        <w:rPr>
          <w:rFonts w:ascii="Barlow" w:eastAsia="F0" w:hAnsi="Barlow"/>
          <w:sz w:val="22"/>
          <w:szCs w:val="22"/>
        </w:rPr>
        <w:t>è uno dei principali componenti dei moderni sistemi di lettura</w:t>
      </w:r>
      <w:r w:rsidR="003D5A1D">
        <w:rPr>
          <w:rFonts w:ascii="Barlow" w:eastAsia="F0" w:hAnsi="Barlow"/>
          <w:sz w:val="22"/>
          <w:szCs w:val="22"/>
        </w:rPr>
        <w:t xml:space="preserve"> che</w:t>
      </w:r>
      <w:r w:rsidRPr="000B0AD8">
        <w:rPr>
          <w:rFonts w:ascii="Barlow" w:eastAsia="F0" w:hAnsi="Barlow"/>
          <w:sz w:val="22"/>
          <w:szCs w:val="22"/>
        </w:rPr>
        <w:t xml:space="preserve"> consent</w:t>
      </w:r>
      <w:r w:rsidR="003D5A1D">
        <w:rPr>
          <w:rFonts w:ascii="Barlow" w:eastAsia="F0" w:hAnsi="Barlow"/>
          <w:sz w:val="22"/>
          <w:szCs w:val="22"/>
        </w:rPr>
        <w:t>e</w:t>
      </w:r>
      <w:r w:rsidRPr="000B0AD8">
        <w:rPr>
          <w:rFonts w:ascii="Barlow" w:eastAsia="F0" w:hAnsi="Barlow"/>
          <w:sz w:val="22"/>
          <w:szCs w:val="22"/>
        </w:rPr>
        <w:t xml:space="preserve"> agli utenti il pieno controllo dei loro consumi</w:t>
      </w:r>
      <w:r w:rsidR="003D5A1D">
        <w:rPr>
          <w:rFonts w:ascii="Barlow" w:eastAsia="F0" w:hAnsi="Barlow"/>
          <w:sz w:val="22"/>
          <w:szCs w:val="22"/>
        </w:rPr>
        <w:t xml:space="preserve"> h24,</w:t>
      </w:r>
      <w:r w:rsidR="00EB225D">
        <w:rPr>
          <w:rFonts w:ascii="Barlow" w:eastAsia="F0" w:hAnsi="Barlow"/>
          <w:sz w:val="22"/>
          <w:szCs w:val="22"/>
        </w:rPr>
        <w:t xml:space="preserve"> </w:t>
      </w:r>
      <w:r w:rsidR="00575310">
        <w:rPr>
          <w:rFonts w:ascii="Barlow" w:eastAsia="F0" w:hAnsi="Barlow"/>
          <w:sz w:val="22"/>
          <w:szCs w:val="22"/>
        </w:rPr>
        <w:t xml:space="preserve">non solo attraverso un ma anche attraverso l'applicazione </w:t>
      </w:r>
      <w:proofErr w:type="spellStart"/>
      <w:r w:rsidR="00575310">
        <w:rPr>
          <w:rFonts w:ascii="Barlow" w:eastAsia="F0" w:hAnsi="Barlow"/>
          <w:sz w:val="22"/>
          <w:szCs w:val="22"/>
        </w:rPr>
        <w:t>we</w:t>
      </w:r>
      <w:proofErr w:type="spellEnd"/>
      <w:r w:rsidR="00575310">
        <w:rPr>
          <w:rFonts w:ascii="Barlow" w:eastAsia="F0" w:hAnsi="Barlow"/>
          <w:sz w:val="22"/>
          <w:szCs w:val="22"/>
        </w:rPr>
        <w:t xml:space="preserve"> ista Connect, accessibile da smartphone, pc, tablet, con dashboard funzionali ed intuitive.</w:t>
      </w:r>
    </w:p>
    <w:p w14:paraId="7D0EE3B5" w14:textId="77777777" w:rsidR="003D5A1D" w:rsidRDefault="003D5A1D" w:rsidP="003206D5">
      <w:pPr>
        <w:jc w:val="both"/>
        <w:rPr>
          <w:rFonts w:ascii="Barlow" w:eastAsia="F0" w:hAnsi="Barlow"/>
          <w:sz w:val="22"/>
          <w:szCs w:val="22"/>
        </w:rPr>
      </w:pPr>
    </w:p>
    <w:p w14:paraId="2A66FD18" w14:textId="55A3BC69" w:rsidR="000B0AD8" w:rsidRDefault="003D5A1D" w:rsidP="003206D5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La</w:t>
      </w:r>
      <w:r w:rsidR="000B0AD8" w:rsidRPr="000B0AD8">
        <w:rPr>
          <w:rFonts w:ascii="Barlow" w:eastAsia="F0" w:hAnsi="Barlow"/>
          <w:sz w:val="22"/>
          <w:szCs w:val="22"/>
        </w:rPr>
        <w:t xml:space="preserve"> tecnologia di misurazione è basata su due sensori di temperatura (superficie del radiatore, ambiente circostante) che entrano in funzione quando la temperatura del radiatore supera 23 °C e la differenza di temperatura tra radiatore e ambiente è di almeno 4,5 °C.</w:t>
      </w:r>
    </w:p>
    <w:p w14:paraId="753D8AAF" w14:textId="6FD16E0F" w:rsidR="000B0AD8" w:rsidRDefault="003D5A1D" w:rsidP="003206D5">
      <w:pPr>
        <w:jc w:val="both"/>
        <w:rPr>
          <w:rFonts w:ascii="Barlow" w:eastAsia="F0" w:hAnsi="Barlow"/>
          <w:sz w:val="22"/>
          <w:szCs w:val="22"/>
        </w:rPr>
      </w:pPr>
      <w:r w:rsidRPr="003D5A1D">
        <w:rPr>
          <w:rFonts w:ascii="Barlow" w:eastAsia="F0" w:hAnsi="Barlow"/>
          <w:b/>
          <w:bCs/>
          <w:sz w:val="22"/>
          <w:szCs w:val="22"/>
        </w:rPr>
        <w:t>doprimo 3 radio net</w:t>
      </w:r>
      <w:r>
        <w:rPr>
          <w:rFonts w:ascii="Barlow" w:eastAsia="F0" w:hAnsi="Barlow"/>
          <w:b/>
          <w:bCs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è </w:t>
      </w:r>
      <w:r w:rsidR="000B0AD8" w:rsidRPr="000B0AD8">
        <w:rPr>
          <w:rFonts w:ascii="Barlow" w:eastAsia="F0" w:hAnsi="Barlow"/>
          <w:sz w:val="22"/>
          <w:szCs w:val="22"/>
        </w:rPr>
        <w:t>un dispositivo estremamente sensibile e preciso, facile da installare e idoneo all’uso anche negli impianti di riscaldamento a bassa temperatura.</w:t>
      </w:r>
    </w:p>
    <w:p w14:paraId="70A559BA" w14:textId="77777777" w:rsidR="003D5A1D" w:rsidRDefault="003D5A1D" w:rsidP="003206D5">
      <w:pPr>
        <w:jc w:val="both"/>
        <w:rPr>
          <w:rFonts w:ascii="Barlow" w:eastAsia="F0" w:hAnsi="Barlow"/>
          <w:sz w:val="22"/>
          <w:szCs w:val="22"/>
        </w:rPr>
      </w:pPr>
      <w:r w:rsidRPr="000B0AD8">
        <w:rPr>
          <w:rFonts w:ascii="Barlow" w:eastAsia="F0" w:hAnsi="Barlow"/>
          <w:sz w:val="22"/>
          <w:szCs w:val="22"/>
        </w:rPr>
        <w:t xml:space="preserve">La trasmissione dei dati avviene solo a richiesta verso la centralina posta dentro l’edificio, mediante impulsi a bassissima potenza (meno di 10 </w:t>
      </w:r>
      <w:proofErr w:type="spellStart"/>
      <w:r w:rsidRPr="000B0AD8">
        <w:rPr>
          <w:rFonts w:ascii="Barlow" w:eastAsia="F0" w:hAnsi="Barlow"/>
          <w:sz w:val="22"/>
          <w:szCs w:val="22"/>
        </w:rPr>
        <w:t>mW</w:t>
      </w:r>
      <w:proofErr w:type="spellEnd"/>
      <w:r w:rsidRPr="000B0AD8">
        <w:rPr>
          <w:rFonts w:ascii="Barlow" w:eastAsia="F0" w:hAnsi="Barlow"/>
          <w:sz w:val="22"/>
          <w:szCs w:val="22"/>
        </w:rPr>
        <w:t>) e della durata di 10 millisecondi, nel pieno rispetto delle norme sulle emissioni elettromagnetiche.</w:t>
      </w:r>
    </w:p>
    <w:p w14:paraId="6498DC01" w14:textId="77777777" w:rsidR="003206D5" w:rsidRDefault="003206D5" w:rsidP="003206D5">
      <w:pPr>
        <w:jc w:val="both"/>
        <w:rPr>
          <w:rFonts w:ascii="Barlow" w:eastAsia="F0" w:hAnsi="Barlow"/>
          <w:sz w:val="22"/>
          <w:szCs w:val="22"/>
        </w:rPr>
      </w:pPr>
    </w:p>
    <w:p w14:paraId="732CFE20" w14:textId="559C1783" w:rsidR="003D5A1D" w:rsidRDefault="003D5A1D" w:rsidP="003206D5">
      <w:pPr>
        <w:jc w:val="both"/>
        <w:rPr>
          <w:rFonts w:ascii="Barlow" w:eastAsia="F0" w:hAnsi="Barlow"/>
          <w:color w:val="000000"/>
          <w:sz w:val="22"/>
          <w:szCs w:val="22"/>
          <w:shd w:val="clear" w:color="auto" w:fill="FFFFFF"/>
        </w:rPr>
      </w:pPr>
      <w:r w:rsidRPr="000B0AD8">
        <w:rPr>
          <w:rFonts w:ascii="Barlow" w:eastAsia="F0" w:hAnsi="Barlow"/>
          <w:sz w:val="22"/>
          <w:szCs w:val="22"/>
        </w:rPr>
        <w:t xml:space="preserve">La qualità dei materiali costruttivi e la discreta eleganza del design, in grado di adattarsi a qualsiasi radiatore, rendono </w:t>
      </w:r>
      <w:r w:rsidRPr="003D5A1D">
        <w:rPr>
          <w:rFonts w:ascii="Barlow" w:eastAsia="F0" w:hAnsi="Barlow"/>
          <w:b/>
          <w:bCs/>
          <w:sz w:val="22"/>
          <w:szCs w:val="22"/>
        </w:rPr>
        <w:t>doprimo 3 radio net</w:t>
      </w:r>
      <w:r w:rsidRPr="000B0AD8">
        <w:rPr>
          <w:rFonts w:ascii="Barlow" w:eastAsia="F0" w:hAnsi="Barlow"/>
          <w:sz w:val="22"/>
          <w:szCs w:val="22"/>
        </w:rPr>
        <w:t xml:space="preserve"> un concentrato di tecnologia </w:t>
      </w:r>
      <w:r w:rsidRPr="003D5A1D">
        <w:rPr>
          <w:rFonts w:ascii="Barlow" w:eastAsia="F0" w:hAnsi="Barlow"/>
          <w:i/>
          <w:iCs/>
          <w:sz w:val="22"/>
          <w:szCs w:val="22"/>
        </w:rPr>
        <w:t>“user friendly”</w:t>
      </w:r>
      <w:r w:rsidRPr="000B0AD8">
        <w:rPr>
          <w:rFonts w:ascii="Barlow" w:eastAsia="F0" w:hAnsi="Barlow"/>
          <w:sz w:val="22"/>
          <w:szCs w:val="22"/>
        </w:rPr>
        <w:t xml:space="preserve"> che contiene </w:t>
      </w:r>
      <w:r w:rsidR="00687BF9">
        <w:rPr>
          <w:rFonts w:ascii="Barlow" w:eastAsia="F0" w:hAnsi="Barlow"/>
          <w:sz w:val="22"/>
          <w:szCs w:val="22"/>
        </w:rPr>
        <w:t xml:space="preserve">i </w:t>
      </w:r>
      <w:r w:rsidRPr="000B0AD8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sensori (compresa la versione con sonda a distanza), </w:t>
      </w:r>
      <w:r w:rsidR="00687BF9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la </w:t>
      </w:r>
      <w:r w:rsidRPr="000B0AD8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memoria e </w:t>
      </w:r>
      <w:r w:rsidR="00687BF9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la </w:t>
      </w:r>
      <w:r w:rsidRPr="000B0AD8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>trasmittente bidirezionale</w:t>
      </w:r>
      <w:r w:rsidR="00687BF9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>, l</w:t>
      </w:r>
      <w:r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a </w:t>
      </w:r>
      <w:r w:rsidRPr="000B0AD8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>batteria al litio con 12 anni di autonomia</w:t>
      </w:r>
      <w:r w:rsidR="00687BF9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 xml:space="preserve"> e altre tecnologie</w:t>
      </w:r>
      <w:r w:rsidRPr="000B0AD8">
        <w:rPr>
          <w:rFonts w:ascii="Barlow" w:eastAsia="F0" w:hAnsi="Barlow"/>
          <w:color w:val="000000"/>
          <w:sz w:val="22"/>
          <w:szCs w:val="22"/>
          <w:shd w:val="clear" w:color="auto" w:fill="FFFFFF"/>
        </w:rPr>
        <w:t>.</w:t>
      </w:r>
    </w:p>
    <w:p w14:paraId="2FFE495F" w14:textId="77777777" w:rsidR="003D5A1D" w:rsidRPr="000B0AD8" w:rsidRDefault="003D5A1D" w:rsidP="003206D5">
      <w:pPr>
        <w:jc w:val="both"/>
        <w:rPr>
          <w:rFonts w:ascii="Barlow" w:hAnsi="Barlow"/>
          <w:sz w:val="22"/>
          <w:szCs w:val="22"/>
        </w:rPr>
      </w:pPr>
    </w:p>
    <w:p w14:paraId="54FE40E0" w14:textId="6D026F93" w:rsidR="000B0AD8" w:rsidRPr="000B0AD8" w:rsidRDefault="000B0AD8" w:rsidP="003206D5">
      <w:pPr>
        <w:jc w:val="both"/>
        <w:rPr>
          <w:rFonts w:ascii="Barlow" w:hAnsi="Barlow"/>
          <w:sz w:val="22"/>
          <w:szCs w:val="22"/>
        </w:rPr>
      </w:pPr>
      <w:r w:rsidRPr="000B0AD8">
        <w:rPr>
          <w:rFonts w:ascii="Barlow" w:eastAsia="F0" w:hAnsi="Barlow"/>
          <w:sz w:val="22"/>
          <w:szCs w:val="22"/>
        </w:rPr>
        <w:t xml:space="preserve">Anche nella </w:t>
      </w:r>
      <w:r w:rsidR="003D5A1D">
        <w:rPr>
          <w:rFonts w:ascii="Barlow" w:eastAsia="F0" w:hAnsi="Barlow"/>
          <w:sz w:val="22"/>
          <w:szCs w:val="22"/>
        </w:rPr>
        <w:t xml:space="preserve">sua </w:t>
      </w:r>
      <w:r w:rsidRPr="000B0AD8">
        <w:rPr>
          <w:rFonts w:ascii="Barlow" w:eastAsia="F0" w:hAnsi="Barlow"/>
          <w:sz w:val="22"/>
          <w:szCs w:val="22"/>
        </w:rPr>
        <w:t xml:space="preserve">nuova configurazione </w:t>
      </w:r>
      <w:r w:rsidRPr="003D5A1D">
        <w:rPr>
          <w:rFonts w:ascii="Barlow" w:eastAsia="F0" w:hAnsi="Barlow"/>
          <w:b/>
          <w:bCs/>
          <w:i/>
          <w:iCs/>
          <w:sz w:val="22"/>
          <w:szCs w:val="22"/>
        </w:rPr>
        <w:t>“triple mode”</w:t>
      </w:r>
      <w:r w:rsidR="00687BF9">
        <w:rPr>
          <w:rFonts w:ascii="Barlow" w:eastAsia="F0" w:hAnsi="Barlow"/>
          <w:sz w:val="22"/>
          <w:szCs w:val="22"/>
        </w:rPr>
        <w:t xml:space="preserve">, </w:t>
      </w:r>
      <w:r w:rsidR="00687BF9" w:rsidRPr="003D5A1D">
        <w:rPr>
          <w:rFonts w:ascii="Barlow" w:eastAsia="F0" w:hAnsi="Barlow"/>
          <w:b/>
          <w:bCs/>
          <w:sz w:val="22"/>
          <w:szCs w:val="22"/>
        </w:rPr>
        <w:t>doprimo 3 radio net</w:t>
      </w:r>
      <w:r w:rsidR="00687BF9" w:rsidRPr="000B0AD8">
        <w:rPr>
          <w:rFonts w:ascii="Barlow" w:eastAsia="F0" w:hAnsi="Barlow"/>
          <w:sz w:val="22"/>
          <w:szCs w:val="22"/>
        </w:rPr>
        <w:t xml:space="preserve"> </w:t>
      </w:r>
      <w:r w:rsidR="003D5A1D">
        <w:rPr>
          <w:rFonts w:ascii="Barlow" w:eastAsia="F0" w:hAnsi="Barlow"/>
          <w:sz w:val="22"/>
          <w:szCs w:val="22"/>
        </w:rPr>
        <w:t>ha una</w:t>
      </w:r>
      <w:r w:rsidRPr="000B0AD8">
        <w:rPr>
          <w:rFonts w:ascii="Barlow" w:eastAsia="F0" w:hAnsi="Barlow"/>
          <w:sz w:val="22"/>
          <w:szCs w:val="22"/>
        </w:rPr>
        <w:t xml:space="preserve"> memoria ad alta capacità </w:t>
      </w:r>
      <w:r w:rsidR="003D5A1D">
        <w:rPr>
          <w:rFonts w:ascii="Barlow" w:eastAsia="F0" w:hAnsi="Barlow"/>
          <w:sz w:val="22"/>
          <w:szCs w:val="22"/>
        </w:rPr>
        <w:t xml:space="preserve">che </w:t>
      </w:r>
      <w:r w:rsidRPr="000B0AD8">
        <w:rPr>
          <w:rFonts w:ascii="Barlow" w:eastAsia="F0" w:hAnsi="Barlow"/>
          <w:sz w:val="22"/>
          <w:szCs w:val="22"/>
        </w:rPr>
        <w:t xml:space="preserve">registra i dati degli ultimi 14 mesi e i valori dei giorni di riferimento dei 2 anni precedenti, </w:t>
      </w:r>
      <w:r w:rsidR="003D5A1D">
        <w:rPr>
          <w:rFonts w:ascii="Barlow" w:eastAsia="F0" w:hAnsi="Barlow"/>
          <w:sz w:val="22"/>
          <w:szCs w:val="22"/>
        </w:rPr>
        <w:t xml:space="preserve">al fine di </w:t>
      </w:r>
      <w:r w:rsidRPr="000B0AD8">
        <w:rPr>
          <w:rFonts w:ascii="Barlow" w:eastAsia="F0" w:hAnsi="Barlow"/>
          <w:sz w:val="22"/>
          <w:szCs w:val="22"/>
        </w:rPr>
        <w:t xml:space="preserve">prevenire la perdita dei dati </w:t>
      </w:r>
      <w:r w:rsidR="003D5A1D">
        <w:rPr>
          <w:rFonts w:ascii="Barlow" w:eastAsia="F0" w:hAnsi="Barlow"/>
          <w:sz w:val="22"/>
          <w:szCs w:val="22"/>
        </w:rPr>
        <w:t>(</w:t>
      </w:r>
      <w:r w:rsidRPr="000B0AD8">
        <w:rPr>
          <w:rFonts w:ascii="Barlow" w:eastAsia="F0" w:hAnsi="Barlow"/>
          <w:sz w:val="22"/>
          <w:szCs w:val="22"/>
        </w:rPr>
        <w:t>in caso di subentri o vendite dell’immobile</w:t>
      </w:r>
      <w:r w:rsidR="003D5A1D">
        <w:rPr>
          <w:rFonts w:ascii="Barlow" w:eastAsia="F0" w:hAnsi="Barlow"/>
          <w:sz w:val="22"/>
          <w:szCs w:val="22"/>
        </w:rPr>
        <w:t>)</w:t>
      </w:r>
      <w:r w:rsidRPr="000B0AD8">
        <w:rPr>
          <w:rFonts w:ascii="Barlow" w:eastAsia="F0" w:hAnsi="Barlow"/>
          <w:sz w:val="22"/>
          <w:szCs w:val="22"/>
        </w:rPr>
        <w:t>.</w:t>
      </w:r>
    </w:p>
    <w:p w14:paraId="0FD905B2" w14:textId="77777777" w:rsidR="000B0AD8" w:rsidRPr="000B0AD8" w:rsidRDefault="000B0AD8" w:rsidP="003206D5">
      <w:pPr>
        <w:jc w:val="both"/>
        <w:rPr>
          <w:rFonts w:ascii="Barlow" w:eastAsia="F0" w:hAnsi="Barlow"/>
          <w:sz w:val="22"/>
          <w:szCs w:val="22"/>
          <w:highlight w:val="white"/>
        </w:rPr>
      </w:pPr>
    </w:p>
    <w:p w14:paraId="13BC47B2" w14:textId="539ABB9E" w:rsidR="000B0AD8" w:rsidRPr="003206D5" w:rsidRDefault="000B0AD8" w:rsidP="003206D5">
      <w:pPr>
        <w:jc w:val="both"/>
        <w:rPr>
          <w:rFonts w:ascii="Barlow" w:eastAsia="F0" w:hAnsi="Barlow"/>
          <w:sz w:val="22"/>
          <w:szCs w:val="22"/>
        </w:rPr>
      </w:pPr>
      <w:r w:rsidRPr="003206D5">
        <w:rPr>
          <w:rFonts w:ascii="Barlow" w:eastAsia="F0" w:hAnsi="Barlow"/>
          <w:sz w:val="22"/>
          <w:szCs w:val="22"/>
        </w:rPr>
        <w:t xml:space="preserve">Con </w:t>
      </w:r>
      <w:r w:rsidRPr="003206D5">
        <w:rPr>
          <w:rFonts w:ascii="Barlow" w:eastAsia="F0" w:hAnsi="Barlow"/>
          <w:b/>
          <w:bCs/>
          <w:sz w:val="22"/>
          <w:szCs w:val="22"/>
        </w:rPr>
        <w:t xml:space="preserve">doprimo 3 radio net </w:t>
      </w:r>
      <w:r w:rsidRPr="003206D5">
        <w:rPr>
          <w:rFonts w:ascii="Barlow" w:eastAsia="F0" w:hAnsi="Barlow"/>
          <w:b/>
          <w:bCs/>
          <w:i/>
          <w:iCs/>
          <w:sz w:val="22"/>
          <w:szCs w:val="22"/>
        </w:rPr>
        <w:t>“triple mode”</w:t>
      </w:r>
      <w:r w:rsidR="00687BF9" w:rsidRPr="003206D5">
        <w:rPr>
          <w:rFonts w:ascii="Barlow" w:eastAsia="F0" w:hAnsi="Barlow"/>
          <w:b/>
          <w:bCs/>
          <w:i/>
          <w:iCs/>
          <w:sz w:val="22"/>
          <w:szCs w:val="22"/>
        </w:rPr>
        <w:t>,</w:t>
      </w:r>
      <w:r w:rsidRPr="003206D5">
        <w:rPr>
          <w:rFonts w:ascii="Barlow" w:eastAsia="F0" w:hAnsi="Barlow"/>
          <w:b/>
          <w:bCs/>
          <w:sz w:val="22"/>
          <w:szCs w:val="22"/>
        </w:rPr>
        <w:t xml:space="preserve"> ista </w:t>
      </w:r>
      <w:r w:rsidR="00687BF9" w:rsidRPr="003206D5">
        <w:rPr>
          <w:rFonts w:ascii="Barlow" w:eastAsia="F0" w:hAnsi="Barlow"/>
          <w:b/>
          <w:bCs/>
          <w:sz w:val="22"/>
          <w:szCs w:val="22"/>
        </w:rPr>
        <w:t>Italia</w:t>
      </w:r>
      <w:r w:rsidR="00687BF9" w:rsidRPr="003206D5">
        <w:rPr>
          <w:rFonts w:ascii="Barlow" w:eastAsia="F0" w:hAnsi="Barlow"/>
          <w:sz w:val="22"/>
          <w:szCs w:val="22"/>
        </w:rPr>
        <w:t xml:space="preserve"> </w:t>
      </w:r>
      <w:r w:rsidRPr="003206D5">
        <w:rPr>
          <w:rFonts w:ascii="Barlow" w:eastAsia="F0" w:hAnsi="Barlow"/>
          <w:sz w:val="22"/>
          <w:szCs w:val="22"/>
        </w:rPr>
        <w:t xml:space="preserve">mette a disposizione un prodotto ancora più completo, che offre una risposta evoluta alle richieste emergenti dal mercato per una contabilizzazione dei consumi efficiente, affidabile, sicura e  trasparente, negli edifici di grandi e piccole dimensioni, esistenti e di nuova </w:t>
      </w:r>
      <w:r w:rsidR="00687BF9" w:rsidRPr="003206D5">
        <w:rPr>
          <w:rFonts w:ascii="Barlow" w:eastAsia="F0" w:hAnsi="Barlow"/>
          <w:sz w:val="22"/>
          <w:szCs w:val="22"/>
        </w:rPr>
        <w:t>costruzione</w:t>
      </w:r>
      <w:r w:rsidRPr="003206D5">
        <w:rPr>
          <w:rFonts w:ascii="Barlow" w:eastAsia="F0" w:hAnsi="Barlow"/>
          <w:sz w:val="22"/>
          <w:szCs w:val="22"/>
        </w:rPr>
        <w:t>.</w:t>
      </w:r>
    </w:p>
    <w:p w14:paraId="27BF1DFA" w14:textId="77777777" w:rsidR="003206D5" w:rsidRDefault="003206D5" w:rsidP="0094514E">
      <w:pPr>
        <w:jc w:val="both"/>
        <w:rPr>
          <w:rFonts w:ascii="Barlow" w:eastAsia="F0" w:hAnsi="Barlow"/>
          <w:sz w:val="22"/>
          <w:szCs w:val="22"/>
        </w:rPr>
      </w:pPr>
    </w:p>
    <w:p w14:paraId="232D185A" w14:textId="3096E43F" w:rsidR="00EC6FFD" w:rsidRPr="000B0AD8" w:rsidRDefault="00456D11" w:rsidP="0094514E">
      <w:pPr>
        <w:jc w:val="both"/>
        <w:rPr>
          <w:rFonts w:ascii="Barlow" w:hAnsi="Barlow"/>
          <w:b/>
          <w:bCs/>
          <w:sz w:val="22"/>
          <w:szCs w:val="22"/>
        </w:rPr>
      </w:pPr>
      <w:r w:rsidRPr="000B0AD8">
        <w:rPr>
          <w:rFonts w:ascii="Barlow" w:hAnsi="Barlow"/>
          <w:b/>
          <w:bCs/>
          <w:sz w:val="22"/>
          <w:szCs w:val="22"/>
        </w:rPr>
        <w:lastRenderedPageBreak/>
        <w:t>Immagini disponibili:</w:t>
      </w:r>
    </w:p>
    <w:p w14:paraId="21992E2B" w14:textId="77777777" w:rsidR="00EC6FFD" w:rsidRDefault="00EC6FFD" w:rsidP="003E1CA6">
      <w:pPr>
        <w:jc w:val="center"/>
        <w:rPr>
          <w:rFonts w:ascii="Barlow" w:hAnsi="Barlow"/>
          <w:sz w:val="22"/>
          <w:szCs w:val="22"/>
        </w:rPr>
      </w:pPr>
    </w:p>
    <w:p w14:paraId="27658232" w14:textId="7F5D9A0E" w:rsidR="00EC629C" w:rsidRDefault="00EC629C" w:rsidP="00EC629C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7C407933" wp14:editId="128B61E0">
            <wp:extent cx="3136900" cy="2090155"/>
            <wp:effectExtent l="0" t="0" r="0" b="5715"/>
            <wp:docPr id="93725969" name="Immagine 3" descr="Immagine che contiene bianco e nero, design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5969" name="Immagine 3" descr="Immagine che contiene bianco e nero, design&#10;&#10;Descrizione generata automaticamente con attendibilità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317" cy="212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ab/>
        <w:t xml:space="preserve">         </w:t>
      </w:r>
      <w:r>
        <w:rPr>
          <w:rFonts w:ascii="Barlow" w:hAnsi="Barlow"/>
          <w:noProof/>
        </w:rPr>
        <w:drawing>
          <wp:inline distT="0" distB="0" distL="0" distR="0" wp14:anchorId="6F0602EC" wp14:editId="5D1BE775">
            <wp:extent cx="3130263" cy="2087245"/>
            <wp:effectExtent l="0" t="0" r="0" b="0"/>
            <wp:docPr id="7879077" name="Immagine 4" descr="Immagine che contiene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077" name="Immagine 4" descr="Immagine che contiene orologi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79" cy="210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E63D" w14:textId="77777777" w:rsidR="000B0AD8" w:rsidRPr="000B0AD8" w:rsidRDefault="000B0AD8" w:rsidP="00EC629C">
      <w:pPr>
        <w:rPr>
          <w:rFonts w:ascii="Barlow" w:hAnsi="Barlow"/>
          <w:sz w:val="22"/>
          <w:szCs w:val="22"/>
        </w:rPr>
      </w:pPr>
    </w:p>
    <w:p w14:paraId="2A531597" w14:textId="630DA2F3" w:rsidR="00EC629C" w:rsidRDefault="00EC629C" w:rsidP="00EC629C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9D6BF92" wp14:editId="04C6E3C0">
            <wp:extent cx="3136900" cy="2090760"/>
            <wp:effectExtent l="0" t="0" r="0" b="5080"/>
            <wp:docPr id="477642360" name="Immagine 1" descr="Immagine che contiene schermata, nero, lu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2360" name="Immagine 1" descr="Immagine che contiene schermata, nero, luce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16" cy="21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      </w:t>
      </w:r>
      <w:r>
        <w:rPr>
          <w:rFonts w:ascii="Barlow" w:hAnsi="Barlow"/>
          <w:noProof/>
        </w:rPr>
        <w:drawing>
          <wp:inline distT="0" distB="0" distL="0" distR="0" wp14:anchorId="16BE6086" wp14:editId="1D313B91">
            <wp:extent cx="3136900" cy="2090762"/>
            <wp:effectExtent l="0" t="0" r="0" b="5080"/>
            <wp:docPr id="806938521" name="Immagine 2" descr="Immagine che contiene schermata, nero, bianco e nero, monocroma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38521" name="Immagine 2" descr="Immagine che contiene schermata, nero, bianco e nero, monocromatic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217" cy="21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34FD" w14:textId="77777777" w:rsidR="00EC629C" w:rsidRDefault="00EC629C" w:rsidP="00EC629C">
      <w:pPr>
        <w:rPr>
          <w:rFonts w:ascii="Barlow" w:hAnsi="Barlow"/>
        </w:rPr>
      </w:pPr>
    </w:p>
    <w:p w14:paraId="75D824DF" w14:textId="170C6071" w:rsidR="00EC629C" w:rsidRDefault="00EC629C" w:rsidP="00EC629C">
      <w:pPr>
        <w:rPr>
          <w:rFonts w:ascii="Barlow" w:hAnsi="Barlow"/>
        </w:rPr>
      </w:pPr>
    </w:p>
    <w:p w14:paraId="0EDBED0E" w14:textId="77777777" w:rsidR="00EC629C" w:rsidRDefault="00EC629C" w:rsidP="003E1CA6">
      <w:pPr>
        <w:jc w:val="center"/>
        <w:rPr>
          <w:rFonts w:ascii="Barlow" w:hAnsi="Barlow"/>
        </w:rPr>
      </w:pPr>
    </w:p>
    <w:sectPr w:rsidR="00EC629C" w:rsidSect="002774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59" w:right="764" w:bottom="828" w:left="79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A2CA" w14:textId="77777777" w:rsidR="003C438D" w:rsidRDefault="003C438D">
      <w:r>
        <w:separator/>
      </w:r>
    </w:p>
  </w:endnote>
  <w:endnote w:type="continuationSeparator" w:id="0">
    <w:p w14:paraId="34552B8F" w14:textId="77777777" w:rsidR="003C438D" w:rsidRDefault="003C438D">
      <w:r>
        <w:continuationSeparator/>
      </w:r>
    </w:p>
  </w:endnote>
  <w:endnote w:type="continuationNotice" w:id="1">
    <w:p w14:paraId="1AAC9AB6" w14:textId="77777777" w:rsidR="003C438D" w:rsidRDefault="003C4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60C" w14:textId="77777777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21 - 00137 +39 06 5947411</w:t>
    </w:r>
  </w:p>
  <w:p w14:paraId="3CB5E668" w14:textId="77777777" w:rsidR="00D8535B" w:rsidRPr="006C2568" w:rsidRDefault="00D8535B" w:rsidP="00D8535B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2954FAC6" w14:textId="77777777" w:rsidR="00D8535B" w:rsidRDefault="00D8535B" w:rsidP="00D8535B">
    <w:pPr>
      <w:pStyle w:val="Pidipagina"/>
    </w:pPr>
  </w:p>
  <w:p w14:paraId="576A06E7" w14:textId="77777777" w:rsidR="00D8535B" w:rsidRDefault="00D853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9B1" w14:textId="67378B5A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</w:t>
    </w:r>
    <w:r w:rsidR="00512233" w:rsidRPr="006C2568">
      <w:rPr>
        <w:rFonts w:ascii="Barlow" w:hAnsi="Barlow"/>
        <w:sz w:val="16"/>
        <w:szCs w:val="16"/>
      </w:rPr>
      <w:t>00137 +</w:t>
    </w:r>
    <w:r w:rsidRPr="006C2568">
      <w:rPr>
        <w:rFonts w:ascii="Barlow" w:hAnsi="Barlow"/>
        <w:sz w:val="16"/>
        <w:szCs w:val="16"/>
      </w:rPr>
      <w:t>39 06 5947411</w:t>
    </w:r>
  </w:p>
  <w:p w14:paraId="05424567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8C04" w14:textId="77777777" w:rsidR="003C438D" w:rsidRDefault="003C438D">
      <w:r>
        <w:separator/>
      </w:r>
    </w:p>
  </w:footnote>
  <w:footnote w:type="continuationSeparator" w:id="0">
    <w:p w14:paraId="05D9DCE1" w14:textId="77777777" w:rsidR="003C438D" w:rsidRDefault="003C438D">
      <w:r>
        <w:continuationSeparator/>
      </w:r>
    </w:p>
  </w:footnote>
  <w:footnote w:type="continuationNotice" w:id="1">
    <w:p w14:paraId="712597F8" w14:textId="77777777" w:rsidR="003C438D" w:rsidRDefault="003C4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CC33" w14:textId="77777777" w:rsidR="00615F0D" w:rsidRDefault="00615F0D">
    <w:pPr>
      <w:pStyle w:val="Intestazione"/>
    </w:pPr>
  </w:p>
  <w:p w14:paraId="712D8626" w14:textId="3DCC118B" w:rsidR="00EC6FFD" w:rsidRDefault="00EC6FFD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60290" behindDoc="1" locked="0" layoutInCell="1" allowOverlap="1" wp14:anchorId="53DC302C" wp14:editId="227D9FC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192408818" name="Grafik 2" descr="Immagine che contiene Carattere, log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8818" name="Grafik 2" descr="Immagine che contiene Carattere, logo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982" w14:textId="33FC85F9" w:rsidR="00D15B30" w:rsidRDefault="00D15B30">
    <w:pPr>
      <w:pStyle w:val="Intestazione"/>
    </w:pPr>
  </w:p>
  <w:p w14:paraId="157A3BD7" w14:textId="79F5AB11" w:rsidR="00D15B30" w:rsidRDefault="00D15B30">
    <w:pPr>
      <w:pStyle w:val="Intestazione"/>
    </w:pPr>
  </w:p>
  <w:p w14:paraId="48A68C38" w14:textId="60B0AE60" w:rsidR="00D15B30" w:rsidRDefault="00EA39D2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21FD81F9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164FAC61" w14:textId="77777777" w:rsidR="00EA39D2" w:rsidRDefault="00EA39D2">
    <w:pPr>
      <w:pStyle w:val="Intestazione"/>
      <w:rPr>
        <w:rFonts w:ascii="Barlow" w:hAnsi="Barlow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0524C"/>
    <w:multiLevelType w:val="multilevel"/>
    <w:tmpl w:val="F64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A36F3"/>
    <w:multiLevelType w:val="multilevel"/>
    <w:tmpl w:val="855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7"/>
  </w:num>
  <w:num w:numId="2" w16cid:durableId="948706413">
    <w:abstractNumId w:val="6"/>
  </w:num>
  <w:num w:numId="3" w16cid:durableId="1386876004">
    <w:abstractNumId w:val="1"/>
  </w:num>
  <w:num w:numId="4" w16cid:durableId="485365310">
    <w:abstractNumId w:val="4"/>
  </w:num>
  <w:num w:numId="5" w16cid:durableId="1045447405">
    <w:abstractNumId w:val="5"/>
  </w:num>
  <w:num w:numId="6" w16cid:durableId="1948350594">
    <w:abstractNumId w:val="0"/>
  </w:num>
  <w:num w:numId="7" w16cid:durableId="1697777719">
    <w:abstractNumId w:val="2"/>
  </w:num>
  <w:num w:numId="8" w16cid:durableId="2024550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2F7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4621"/>
    <w:rsid w:val="00087245"/>
    <w:rsid w:val="00093A81"/>
    <w:rsid w:val="000963A3"/>
    <w:rsid w:val="000A0181"/>
    <w:rsid w:val="000A1EFD"/>
    <w:rsid w:val="000A4213"/>
    <w:rsid w:val="000A44EE"/>
    <w:rsid w:val="000B0AD8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D4C89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42F9"/>
    <w:rsid w:val="001451C9"/>
    <w:rsid w:val="00145F8F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23B7"/>
    <w:rsid w:val="001A4436"/>
    <w:rsid w:val="001B0D82"/>
    <w:rsid w:val="001B1ACF"/>
    <w:rsid w:val="001B5117"/>
    <w:rsid w:val="001B56D6"/>
    <w:rsid w:val="001B5EA8"/>
    <w:rsid w:val="001B7795"/>
    <w:rsid w:val="001C3A19"/>
    <w:rsid w:val="001C4C32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2FE9"/>
    <w:rsid w:val="0022397B"/>
    <w:rsid w:val="00223F3C"/>
    <w:rsid w:val="00225F01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1AF2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4B4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2C9D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2F7006"/>
    <w:rsid w:val="003002A6"/>
    <w:rsid w:val="00300C70"/>
    <w:rsid w:val="00302943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6D5"/>
    <w:rsid w:val="00320975"/>
    <w:rsid w:val="003218B2"/>
    <w:rsid w:val="00323170"/>
    <w:rsid w:val="00326814"/>
    <w:rsid w:val="0033056F"/>
    <w:rsid w:val="003316DD"/>
    <w:rsid w:val="00335F89"/>
    <w:rsid w:val="00336121"/>
    <w:rsid w:val="003410EA"/>
    <w:rsid w:val="003424DD"/>
    <w:rsid w:val="003426B9"/>
    <w:rsid w:val="00346DB1"/>
    <w:rsid w:val="003505D9"/>
    <w:rsid w:val="0036007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1CC7"/>
    <w:rsid w:val="003B48B6"/>
    <w:rsid w:val="003B4DE7"/>
    <w:rsid w:val="003C1C79"/>
    <w:rsid w:val="003C228F"/>
    <w:rsid w:val="003C301C"/>
    <w:rsid w:val="003C3387"/>
    <w:rsid w:val="003C3BD7"/>
    <w:rsid w:val="003C438D"/>
    <w:rsid w:val="003C5684"/>
    <w:rsid w:val="003C5EFB"/>
    <w:rsid w:val="003C603D"/>
    <w:rsid w:val="003D01D4"/>
    <w:rsid w:val="003D3AFB"/>
    <w:rsid w:val="003D42BA"/>
    <w:rsid w:val="003D5A1D"/>
    <w:rsid w:val="003D5BAE"/>
    <w:rsid w:val="003D5C41"/>
    <w:rsid w:val="003D6DE1"/>
    <w:rsid w:val="003E1CA6"/>
    <w:rsid w:val="003E2E81"/>
    <w:rsid w:val="003E3344"/>
    <w:rsid w:val="003E7649"/>
    <w:rsid w:val="003F11B0"/>
    <w:rsid w:val="003F606E"/>
    <w:rsid w:val="00400FB5"/>
    <w:rsid w:val="004014F4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25CC"/>
    <w:rsid w:val="0044388F"/>
    <w:rsid w:val="00445BEF"/>
    <w:rsid w:val="004468B8"/>
    <w:rsid w:val="00450681"/>
    <w:rsid w:val="004506B4"/>
    <w:rsid w:val="0045258D"/>
    <w:rsid w:val="00455436"/>
    <w:rsid w:val="00455D2C"/>
    <w:rsid w:val="00455DA0"/>
    <w:rsid w:val="00456D11"/>
    <w:rsid w:val="00456F2F"/>
    <w:rsid w:val="00457990"/>
    <w:rsid w:val="004613FE"/>
    <w:rsid w:val="00461652"/>
    <w:rsid w:val="004631F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3362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10648"/>
    <w:rsid w:val="00511693"/>
    <w:rsid w:val="0051223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67F1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310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0870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59FD"/>
    <w:rsid w:val="0060654F"/>
    <w:rsid w:val="00606C67"/>
    <w:rsid w:val="00607E31"/>
    <w:rsid w:val="00611947"/>
    <w:rsid w:val="00614818"/>
    <w:rsid w:val="0061489A"/>
    <w:rsid w:val="0061493D"/>
    <w:rsid w:val="0061532B"/>
    <w:rsid w:val="00615F0D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4304A"/>
    <w:rsid w:val="006517F1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87BF9"/>
    <w:rsid w:val="00693B88"/>
    <w:rsid w:val="00695493"/>
    <w:rsid w:val="0069614C"/>
    <w:rsid w:val="006A02CF"/>
    <w:rsid w:val="006A0859"/>
    <w:rsid w:val="006A1812"/>
    <w:rsid w:val="006A397C"/>
    <w:rsid w:val="006A5294"/>
    <w:rsid w:val="006A62D6"/>
    <w:rsid w:val="006A667E"/>
    <w:rsid w:val="006B320F"/>
    <w:rsid w:val="006B4DFE"/>
    <w:rsid w:val="006B5228"/>
    <w:rsid w:val="006B56CA"/>
    <w:rsid w:val="006C04C5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2FED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16C2"/>
    <w:rsid w:val="00782C2F"/>
    <w:rsid w:val="007853CC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2EA2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12B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0C39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77C6"/>
    <w:rsid w:val="008478A4"/>
    <w:rsid w:val="0085214D"/>
    <w:rsid w:val="00852239"/>
    <w:rsid w:val="008528C3"/>
    <w:rsid w:val="00852E66"/>
    <w:rsid w:val="0085401D"/>
    <w:rsid w:val="00854A6C"/>
    <w:rsid w:val="00855397"/>
    <w:rsid w:val="0086279A"/>
    <w:rsid w:val="00862CC7"/>
    <w:rsid w:val="00864B7A"/>
    <w:rsid w:val="008674A8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6F14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A74E1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514E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3F8"/>
    <w:rsid w:val="009D5C0B"/>
    <w:rsid w:val="009D7307"/>
    <w:rsid w:val="009D736A"/>
    <w:rsid w:val="009D7FF4"/>
    <w:rsid w:val="009E3AB5"/>
    <w:rsid w:val="009E6123"/>
    <w:rsid w:val="009E6717"/>
    <w:rsid w:val="009E67AB"/>
    <w:rsid w:val="009E7BB3"/>
    <w:rsid w:val="009F0D10"/>
    <w:rsid w:val="009F3645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27A6B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85045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2263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38BF"/>
    <w:rsid w:val="00BB3E7E"/>
    <w:rsid w:val="00BB4B7B"/>
    <w:rsid w:val="00BB50F8"/>
    <w:rsid w:val="00BC1004"/>
    <w:rsid w:val="00BC1F77"/>
    <w:rsid w:val="00BC3A9B"/>
    <w:rsid w:val="00BC6557"/>
    <w:rsid w:val="00BC67C6"/>
    <w:rsid w:val="00BD29F9"/>
    <w:rsid w:val="00BD43C9"/>
    <w:rsid w:val="00BD5D60"/>
    <w:rsid w:val="00BD768F"/>
    <w:rsid w:val="00BD7BCB"/>
    <w:rsid w:val="00BD7EEA"/>
    <w:rsid w:val="00BE00B0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BF563C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0E36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B7218"/>
    <w:rsid w:val="00CC2A70"/>
    <w:rsid w:val="00CC3FA8"/>
    <w:rsid w:val="00CC5EA3"/>
    <w:rsid w:val="00CC64D5"/>
    <w:rsid w:val="00CC7D48"/>
    <w:rsid w:val="00CD190E"/>
    <w:rsid w:val="00CD4AAC"/>
    <w:rsid w:val="00CE0079"/>
    <w:rsid w:val="00CE0400"/>
    <w:rsid w:val="00CE1F36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27468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5786"/>
    <w:rsid w:val="00D66E03"/>
    <w:rsid w:val="00D66F11"/>
    <w:rsid w:val="00D70815"/>
    <w:rsid w:val="00D724F7"/>
    <w:rsid w:val="00D77456"/>
    <w:rsid w:val="00D80387"/>
    <w:rsid w:val="00D8100D"/>
    <w:rsid w:val="00D81837"/>
    <w:rsid w:val="00D81B98"/>
    <w:rsid w:val="00D83754"/>
    <w:rsid w:val="00D83D7D"/>
    <w:rsid w:val="00D852FB"/>
    <w:rsid w:val="00D8535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054B"/>
    <w:rsid w:val="00E410DF"/>
    <w:rsid w:val="00E41D3A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6202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A39D2"/>
    <w:rsid w:val="00EA59C6"/>
    <w:rsid w:val="00EB11EC"/>
    <w:rsid w:val="00EB225D"/>
    <w:rsid w:val="00EB2B4B"/>
    <w:rsid w:val="00EB4329"/>
    <w:rsid w:val="00EB47D2"/>
    <w:rsid w:val="00EB51AA"/>
    <w:rsid w:val="00EC4C2A"/>
    <w:rsid w:val="00EC5C4A"/>
    <w:rsid w:val="00EC60B4"/>
    <w:rsid w:val="00EC629C"/>
    <w:rsid w:val="00EC6708"/>
    <w:rsid w:val="00EC6A51"/>
    <w:rsid w:val="00EC6FFD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EF210E"/>
    <w:rsid w:val="00F02EC1"/>
    <w:rsid w:val="00F0441A"/>
    <w:rsid w:val="00F062BC"/>
    <w:rsid w:val="00F0662B"/>
    <w:rsid w:val="00F0687D"/>
    <w:rsid w:val="00F06D1F"/>
    <w:rsid w:val="00F076DF"/>
    <w:rsid w:val="00F10E77"/>
    <w:rsid w:val="00F11756"/>
    <w:rsid w:val="00F12FBF"/>
    <w:rsid w:val="00F205C2"/>
    <w:rsid w:val="00F23FAF"/>
    <w:rsid w:val="00F26A25"/>
    <w:rsid w:val="00F27683"/>
    <w:rsid w:val="00F27BFE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2FA9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B6E04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62C4"/>
    <w:rsid w:val="00FE7105"/>
    <w:rsid w:val="00FF038C"/>
    <w:rsid w:val="00FF346A"/>
    <w:rsid w:val="00FF3A1F"/>
    <w:rsid w:val="00FF4330"/>
    <w:rsid w:val="00FF4C9F"/>
    <w:rsid w:val="00FF617C"/>
    <w:rsid w:val="00FF6611"/>
    <w:rsid w:val="00FF66E2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xmsonormal">
    <w:name w:val="xmsonormal"/>
    <w:basedOn w:val="Normale"/>
    <w:rsid w:val="001442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631F2"/>
  </w:style>
  <w:style w:type="character" w:styleId="Menzionenonrisolta">
    <w:name w:val="Unresolved Mention"/>
    <w:basedOn w:val="Carpredefinitoparagrafo"/>
    <w:uiPriority w:val="99"/>
    <w:semiHidden/>
    <w:unhideWhenUsed/>
    <w:rsid w:val="0045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2</cp:revision>
  <dcterms:created xsi:type="dcterms:W3CDTF">2024-06-10T08:44:00Z</dcterms:created>
  <dcterms:modified xsi:type="dcterms:W3CDTF">2024-06-10T08:44:00Z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