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D4AC" w14:textId="77777777" w:rsidR="00222EF6" w:rsidRPr="00E45B35" w:rsidRDefault="00222EF6" w:rsidP="00222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right="818"/>
        <w:jc w:val="both"/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2967F8B1" w14:textId="2F5A59A8" w:rsidR="00222EF6" w:rsidRPr="00E45B35" w:rsidRDefault="00222EF6" w:rsidP="00222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lang w:val="it-IT"/>
        </w:rPr>
      </w:pPr>
      <w:r w:rsidRPr="00E45B35">
        <w:rPr>
          <w:rFonts w:ascii="Barlow" w:hAnsi="Barlow"/>
          <w:b/>
          <w:bCs/>
          <w:lang w:val="it-IT"/>
        </w:rPr>
        <w:t xml:space="preserve">Comunicato stampa | Nuovi Manager | </w:t>
      </w:r>
      <w:r w:rsidR="00705CE5">
        <w:rPr>
          <w:rFonts w:ascii="Barlow" w:hAnsi="Barlow"/>
          <w:b/>
          <w:bCs/>
          <w:lang w:val="it-IT"/>
        </w:rPr>
        <w:t xml:space="preserve">Umberto Dall’Ava | </w:t>
      </w:r>
      <w:proofErr w:type="gramStart"/>
      <w:r w:rsidR="00705CE5">
        <w:rPr>
          <w:rFonts w:ascii="Barlow" w:hAnsi="Barlow"/>
          <w:b/>
          <w:bCs/>
          <w:lang w:val="it-IT"/>
        </w:rPr>
        <w:t>Settembre</w:t>
      </w:r>
      <w:proofErr w:type="gramEnd"/>
      <w:r w:rsidRPr="00E45B35">
        <w:rPr>
          <w:rFonts w:ascii="Barlow" w:hAnsi="Barlow"/>
          <w:b/>
          <w:bCs/>
          <w:lang w:val="it-IT"/>
        </w:rPr>
        <w:t xml:space="preserve"> 2025</w:t>
      </w:r>
    </w:p>
    <w:p w14:paraId="52B831B2" w14:textId="77777777" w:rsidR="009E1899" w:rsidRPr="00E45B35" w:rsidRDefault="009E18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1134" w:right="818"/>
        <w:jc w:val="both"/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42F2D2C5" w14:textId="77777777" w:rsidR="00355963" w:rsidRPr="00355963" w:rsidRDefault="00355963" w:rsidP="00705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lang w:val="it-IT"/>
        </w:rPr>
      </w:pPr>
      <w:r w:rsidRPr="00355963">
        <w:rPr>
          <w:rFonts w:ascii="Barlow" w:hAnsi="Barlow"/>
          <w:b/>
          <w:bCs/>
          <w:lang w:val="it-IT"/>
        </w:rPr>
        <w:t xml:space="preserve">Manager &amp; Aziende: </w:t>
      </w:r>
      <w:r w:rsidRPr="00355963">
        <w:rPr>
          <w:rFonts w:ascii="Barlow" w:hAnsi="Barlow"/>
          <w:b/>
          <w:bCs/>
          <w:lang w:val="it-IT"/>
        </w:rPr>
        <w:t>Umberto Dall’Ava</w:t>
      </w:r>
      <w:r w:rsidRPr="00355963">
        <w:rPr>
          <w:rFonts w:ascii="Barlow" w:hAnsi="Barlow"/>
          <w:b/>
          <w:bCs/>
          <w:lang w:val="it-IT"/>
        </w:rPr>
        <w:t xml:space="preserve"> entra nel team de L’Accademia dello Showroom</w:t>
      </w:r>
    </w:p>
    <w:p w14:paraId="4776EA83" w14:textId="77777777" w:rsidR="00355963" w:rsidRDefault="00355963" w:rsidP="00705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lang w:val="it-IT"/>
        </w:rPr>
      </w:pPr>
    </w:p>
    <w:p w14:paraId="324C5F0C" w14:textId="5B142D16" w:rsidR="00705CE5" w:rsidRDefault="00222EF6" w:rsidP="00705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45B35">
        <w:rPr>
          <w:rFonts w:ascii="Barlow" w:hAnsi="Barlow"/>
          <w:lang w:val="it-IT"/>
        </w:rPr>
        <w:t xml:space="preserve">Grazie ai </w:t>
      </w:r>
      <w:r w:rsidR="00E45B35">
        <w:rPr>
          <w:rFonts w:ascii="Barlow" w:hAnsi="Barlow"/>
          <w:lang w:val="it-IT"/>
        </w:rPr>
        <w:t xml:space="preserve">positivi </w:t>
      </w:r>
      <w:r w:rsidRPr="00E45B35">
        <w:rPr>
          <w:rFonts w:ascii="Barlow" w:hAnsi="Barlow"/>
          <w:lang w:val="it-IT"/>
        </w:rPr>
        <w:t xml:space="preserve">risultati nel settore dei serramenti e degli infissi, </w:t>
      </w:r>
      <w:r w:rsidRPr="00E45B35">
        <w:rPr>
          <w:rFonts w:ascii="Barlow" w:hAnsi="Barlow"/>
          <w:b/>
          <w:bCs/>
          <w:lang w:val="it-IT"/>
        </w:rPr>
        <w:t>L’Accademia dello Showroom</w:t>
      </w:r>
      <w:r w:rsidRPr="00E45B35">
        <w:rPr>
          <w:rFonts w:ascii="Barlow" w:hAnsi="Barlow"/>
          <w:lang w:val="it-IT"/>
        </w:rPr>
        <w:t xml:space="preserve">, società di consulenza e formazione specializzata nel settore delle finiture per l’edilizia, inserisce </w:t>
      </w:r>
      <w:r w:rsidR="00E47064" w:rsidRPr="00E45B35">
        <w:rPr>
          <w:rFonts w:ascii="Barlow" w:hAnsi="Barlow"/>
          <w:lang w:val="it-IT"/>
        </w:rPr>
        <w:t>ne</w:t>
      </w:r>
      <w:r w:rsidR="00E47064">
        <w:rPr>
          <w:rFonts w:ascii="Barlow" w:hAnsi="Barlow"/>
          <w:lang w:val="it-IT"/>
        </w:rPr>
        <w:t>l</w:t>
      </w:r>
      <w:r w:rsidR="00E47064" w:rsidRPr="00E45B35">
        <w:rPr>
          <w:rFonts w:ascii="Barlow" w:hAnsi="Barlow"/>
          <w:lang w:val="it-IT"/>
        </w:rPr>
        <w:t xml:space="preserve"> suo team</w:t>
      </w:r>
      <w:r w:rsidR="00E47064">
        <w:rPr>
          <w:rFonts w:ascii="Barlow" w:hAnsi="Barlow"/>
          <w:lang w:val="it-IT"/>
        </w:rPr>
        <w:t xml:space="preserve">, </w:t>
      </w:r>
      <w:r w:rsidR="005E1F00">
        <w:rPr>
          <w:rFonts w:ascii="Barlow" w:hAnsi="Barlow"/>
          <w:lang w:val="it-IT"/>
        </w:rPr>
        <w:t>a supporto delle Aziende d</w:t>
      </w:r>
      <w:r w:rsidR="008560F8">
        <w:rPr>
          <w:rFonts w:ascii="Barlow" w:hAnsi="Barlow"/>
          <w:lang w:val="it-IT"/>
        </w:rPr>
        <w:t xml:space="preserve">i questo </w:t>
      </w:r>
      <w:r w:rsidR="005E1F00">
        <w:rPr>
          <w:rFonts w:ascii="Barlow" w:hAnsi="Barlow"/>
          <w:lang w:val="it-IT"/>
        </w:rPr>
        <w:t xml:space="preserve">settore, </w:t>
      </w:r>
      <w:r w:rsidR="00E45B35">
        <w:rPr>
          <w:rFonts w:ascii="Barlow" w:hAnsi="Barlow"/>
          <w:lang w:val="it-IT"/>
        </w:rPr>
        <w:t xml:space="preserve">un nuovo </w:t>
      </w:r>
      <w:r w:rsidRPr="00E45B35">
        <w:rPr>
          <w:rFonts w:ascii="Barlow" w:hAnsi="Barlow"/>
          <w:lang w:val="it-IT"/>
        </w:rPr>
        <w:t>consulent</w:t>
      </w:r>
      <w:r w:rsidR="00E45B35">
        <w:rPr>
          <w:rFonts w:ascii="Barlow" w:hAnsi="Barlow"/>
          <w:lang w:val="it-IT"/>
        </w:rPr>
        <w:t>e</w:t>
      </w:r>
      <w:r w:rsidRPr="00E45B35">
        <w:rPr>
          <w:rFonts w:ascii="Barlow" w:hAnsi="Barlow"/>
          <w:lang w:val="it-IT"/>
        </w:rPr>
        <w:t xml:space="preserve"> specializzat</w:t>
      </w:r>
      <w:r w:rsidR="00E45B35">
        <w:rPr>
          <w:rFonts w:ascii="Barlow" w:hAnsi="Barlow"/>
          <w:lang w:val="it-IT"/>
        </w:rPr>
        <w:t xml:space="preserve">o: </w:t>
      </w:r>
      <w:r w:rsidRPr="00E45B35">
        <w:rPr>
          <w:rFonts w:ascii="Barlow" w:hAnsi="Barlow"/>
          <w:b/>
          <w:bCs/>
          <w:lang w:val="it-IT"/>
        </w:rPr>
        <w:t xml:space="preserve">Umberto Dall’Ava </w:t>
      </w:r>
      <w:r w:rsidRPr="00E45B35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esperto </w:t>
      </w:r>
      <w:r w:rsidR="005E1F00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</w:t>
      </w:r>
      <w:r w:rsidRPr="00E45B35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port</w:t>
      </w:r>
      <w:r w:rsidR="005E1F00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e,</w:t>
      </w:r>
      <w:r w:rsidRPr="00E45B35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finestre</w:t>
      </w:r>
      <w:r w:rsidR="005E1F00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e serramenti </w:t>
      </w:r>
      <w:r w:rsidR="00E45B35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con </w:t>
      </w:r>
      <w:r w:rsidRPr="00E45B35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una consolidata </w:t>
      </w:r>
      <w:r w:rsidR="00E45B35" w:rsidRPr="00E45B35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specializzazione </w:t>
      </w:r>
      <w:r w:rsidRPr="00E45B35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nel </w:t>
      </w:r>
      <w:r w:rsidR="00E45B35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mondo della </w:t>
      </w:r>
      <w:r w:rsidRPr="00E45B35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distribu</w:t>
      </w:r>
      <w:r w:rsidR="00E45B35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zione</w:t>
      </w:r>
      <w:r w:rsidRPr="00E45B35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DFAB2BF" w14:textId="77777777" w:rsidR="00705CE5" w:rsidRDefault="00705CE5" w:rsidP="00705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26465E77" w14:textId="389D37F8" w:rsidR="00705CE5" w:rsidRDefault="00000000" w:rsidP="00705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45B35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Professionista con oltre vent’anni di esperienza nella definizione di strategie commerciali e nel coordinamento d</w:t>
      </w:r>
      <w:r w:rsidR="00E45B35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elle organizzazioni d</w:t>
      </w:r>
      <w:r w:rsidRPr="00E45B35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i vendita, </w:t>
      </w:r>
      <w:r w:rsidR="00E45B35" w:rsidRPr="00E45B35">
        <w:rPr>
          <w:rFonts w:ascii="Barlow" w:hAnsi="Barlow"/>
          <w:b/>
          <w:bCs/>
          <w:lang w:val="it-IT"/>
        </w:rPr>
        <w:t xml:space="preserve">Umberto Dall’Ava </w:t>
      </w:r>
      <w:r w:rsidRPr="00E45B35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ha sempre operato nel</w:t>
      </w:r>
      <w:r w:rsidRPr="00222EF6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E1F00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mondo de</w:t>
      </w:r>
      <w:r w:rsidR="001E60E3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i fori porta e finestra </w:t>
      </w:r>
      <w:r w:rsidRPr="00222EF6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="005E1F00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, attualmente, </w:t>
      </w:r>
      <w:r w:rsidRPr="00222EF6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ricopre un ruolo di responsabilità in un’azienda leader </w:t>
      </w:r>
      <w:r w:rsidR="005E1F00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Pr="00222EF6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el comparto serramenti</w:t>
      </w:r>
      <w:r w:rsidR="005E1F00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72F2B557" w14:textId="77777777" w:rsidR="00705CE5" w:rsidRDefault="00705CE5" w:rsidP="00705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6F7D3CD8" w14:textId="1E4BCA2D" w:rsidR="00705CE5" w:rsidRDefault="00705CE5" w:rsidP="00705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La </w:t>
      </w:r>
      <w:r w:rsidRPr="00222EF6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capacità di integrare visione strategica e pragmatismo operativo</w:t>
      </w:r>
      <w:r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è una delle </w:t>
      </w:r>
      <w:r>
        <w:rPr>
          <w:rFonts w:ascii="Barlow" w:hAnsi="Barlow"/>
          <w:lang w:val="it-IT"/>
        </w:rPr>
        <w:t xml:space="preserve">importanti </w:t>
      </w:r>
      <w:r w:rsidRPr="00705CE5">
        <w:rPr>
          <w:rFonts w:ascii="Barlow" w:hAnsi="Barlow"/>
          <w:lang w:val="it-IT"/>
        </w:rPr>
        <w:t>peculiari</w:t>
      </w:r>
      <w:r w:rsidR="001E60E3">
        <w:rPr>
          <w:rFonts w:ascii="Barlow" w:hAnsi="Barlow"/>
          <w:lang w:val="it-IT"/>
        </w:rPr>
        <w:t>tà</w:t>
      </w:r>
      <w:r w:rsidRPr="00705CE5">
        <w:rPr>
          <w:rFonts w:ascii="Barlow" w:hAnsi="Barlow"/>
          <w:lang w:val="it-IT"/>
        </w:rPr>
        <w:t xml:space="preserve"> che </w:t>
      </w:r>
      <w:r>
        <w:rPr>
          <w:rFonts w:ascii="Barlow" w:hAnsi="Barlow"/>
          <w:lang w:val="it-IT"/>
        </w:rPr>
        <w:t xml:space="preserve">definiscono il profilo di </w:t>
      </w:r>
      <w:r w:rsidRPr="00E45B35">
        <w:rPr>
          <w:rFonts w:ascii="Barlow" w:hAnsi="Barlow"/>
          <w:b/>
          <w:bCs/>
          <w:lang w:val="it-IT"/>
        </w:rPr>
        <w:t>Umberto Dall’Ava</w:t>
      </w:r>
      <w:r w:rsidRPr="00222EF6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9C6D45D" w14:textId="77777777" w:rsidR="00705CE5" w:rsidRDefault="00705CE5" w:rsidP="00705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5950EA86" w14:textId="6423BAEC" w:rsidR="00705CE5" w:rsidRDefault="00000000" w:rsidP="00705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222EF6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Con il suo ingresso, </w:t>
      </w:r>
      <w:r w:rsidRPr="005E1F00">
        <w:rPr>
          <w:rFonts w:ascii="Barlow" w:eastAsia="NeueHaasGroteskDisp Std" w:hAnsi="Barlow" w:cs="NeueHaasGroteskDisp Std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L’Accademia dello Showroom</w:t>
      </w:r>
      <w:r w:rsidRPr="00222EF6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rafforza la propria offerta di consulenza rivolta a showroom, produttori e rivenditori</w:t>
      </w:r>
      <w:r w:rsidR="00705CE5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di questi comparti</w:t>
      </w:r>
      <w:r w:rsidRPr="00222EF6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705CE5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finalizzata a </w:t>
      </w:r>
      <w:r w:rsidRPr="00222EF6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supportare la loro crescita attraverso l’ottimizzazione dei processi commerciali, la valorizzazione dell’esperienza d’acquisto e la crescita delle competenze interne.</w:t>
      </w:r>
    </w:p>
    <w:p w14:paraId="5102E88C" w14:textId="77777777" w:rsidR="00705CE5" w:rsidRDefault="00705CE5" w:rsidP="00705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3E066C51" w14:textId="3D2A3285" w:rsidR="00705CE5" w:rsidRDefault="00000000" w:rsidP="00705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222EF6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"</w:t>
      </w:r>
      <w:r w:rsidRPr="00222EF6">
        <w:rPr>
          <w:rFonts w:ascii="Barlow" w:eastAsia="NeueHaasGroteskDisp Std" w:hAnsi="Barlow" w:cs="NeueHaasGroteskDisp Std"/>
          <w:i/>
          <w:i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Accogliere Umberto nel nostro team significa dotarci di una risorsa capace di leggere il mercato con lucidità, dialogare con gli attori della distribuzione e contribuire con strumenti concreti all’evoluzione dello showroom come leva strategica</w:t>
      </w:r>
      <w:r w:rsidRPr="00222EF6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", afferma </w:t>
      </w:r>
      <w:r w:rsidRPr="00705CE5">
        <w:rPr>
          <w:rFonts w:ascii="Barlow" w:eastAsia="NeueHaasGroteskDisp Std" w:hAnsi="Barlow" w:cs="NeueHaasGroteskDisp Std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Veronica Verona</w:t>
      </w:r>
      <w:r w:rsidRPr="00222EF6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, Direttore de </w:t>
      </w:r>
      <w:r w:rsidR="00705CE5" w:rsidRPr="005E1F00">
        <w:rPr>
          <w:rFonts w:ascii="Barlow" w:eastAsia="NeueHaasGroteskDisp Std" w:hAnsi="Barlow" w:cs="NeueHaasGroteskDisp Std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L’Accademia dello Showroom</w:t>
      </w:r>
      <w:r w:rsidRPr="00222EF6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551509B7" w14:textId="77777777" w:rsidR="00705CE5" w:rsidRDefault="00705CE5" w:rsidP="00705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5D48689F" w14:textId="6BE617AB" w:rsidR="009E1899" w:rsidRPr="00222EF6" w:rsidRDefault="00000000" w:rsidP="00705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222EF6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Il contributo di </w:t>
      </w:r>
      <w:r w:rsidR="00705CE5" w:rsidRPr="00E45B35">
        <w:rPr>
          <w:rFonts w:ascii="Barlow" w:hAnsi="Barlow"/>
          <w:b/>
          <w:bCs/>
          <w:lang w:val="it-IT"/>
        </w:rPr>
        <w:t>Umberto Dall’Ava</w:t>
      </w:r>
      <w:r w:rsidRPr="00222EF6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rappresenta un ulteriore passo nella direzione tracciata da </w:t>
      </w:r>
      <w:r w:rsidRPr="00705CE5">
        <w:rPr>
          <w:rFonts w:ascii="Barlow" w:eastAsia="NeueHaasGroteskDisp Std" w:hAnsi="Barlow" w:cs="NeueHaasGroteskDisp Std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L’Accademia</w:t>
      </w:r>
      <w:r w:rsidR="00705CE5" w:rsidRPr="00705CE5">
        <w:rPr>
          <w:rFonts w:ascii="Barlow" w:eastAsia="NeueHaasGroteskDisp Std" w:hAnsi="Barlow" w:cs="NeueHaasGroteskDisp Std"/>
          <w:b/>
          <w:bCs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dello Showroom</w:t>
      </w:r>
      <w:r w:rsidRPr="00222EF6"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: affiancare le imprese del settore con una proposta formativa e consulenziale in grado di rispondere alle sfide di un mercato sempre più saturo.</w:t>
      </w:r>
    </w:p>
    <w:p w14:paraId="63127011" w14:textId="77777777" w:rsidR="00222EF6" w:rsidRDefault="00222EF6" w:rsidP="00222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eastAsia="NeueHaasGroteskDisp Std" w:hAnsi="Barlow" w:cs="NeueHaasGroteskDisp Std"/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5562206E" w14:textId="77777777" w:rsidR="00222EF6" w:rsidRPr="00360074" w:rsidRDefault="00222EF6" w:rsidP="00222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eastAsia="NeueHaasGroteskDisp Std" w:hAnsi="Barlow" w:cs="NeueHaasGroteskDisp Std"/>
          <w:sz w:val="18"/>
          <w:szCs w:val="18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360074">
        <w:rPr>
          <w:rFonts w:ascii="Barlow" w:eastAsia="NeueHaasGroteskDisp Std" w:hAnsi="Barlow" w:cs="NeueHaasGroteskDisp Std"/>
          <w:b/>
          <w:bCs/>
          <w:sz w:val="18"/>
          <w:szCs w:val="18"/>
          <w:lang w:val="it-IT"/>
          <w14:textOutline w14:w="0" w14:cap="flat" w14:cmpd="sng" w14:algn="ctr">
            <w14:noFill/>
            <w14:prstDash w14:val="solid"/>
            <w14:bevel/>
          </w14:textOutline>
        </w:rPr>
        <w:t>L’ACCADEMIA DELLO SHOWROOM</w:t>
      </w:r>
    </w:p>
    <w:p w14:paraId="0F08F270" w14:textId="4C0D78DA" w:rsidR="00705CE5" w:rsidRDefault="00222EF6" w:rsidP="00222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hAnsi="Barlow"/>
          <w:sz w:val="18"/>
          <w:szCs w:val="18"/>
          <w:bdr w:val="none" w:sz="0" w:space="0" w:color="auto"/>
          <w:lang w:val="it-IT"/>
        </w:rPr>
      </w:pPr>
      <w:r w:rsidRPr="00360074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Nata da un’intuizione di </w:t>
      </w:r>
      <w:r w:rsidRPr="00360074">
        <w:rPr>
          <w:rFonts w:ascii="Barlow" w:hAnsi="Barlow"/>
          <w:b/>
          <w:bCs/>
          <w:sz w:val="18"/>
          <w:szCs w:val="18"/>
          <w:bdr w:val="none" w:sz="0" w:space="0" w:color="auto"/>
          <w:lang w:val="it-IT"/>
        </w:rPr>
        <w:t>Veronica Verona</w:t>
      </w:r>
      <w:r w:rsidRPr="00360074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, </w:t>
      </w:r>
      <w:r w:rsidRPr="00360074">
        <w:rPr>
          <w:rFonts w:ascii="Barlow" w:hAnsi="Barlow"/>
          <w:b/>
          <w:bCs/>
          <w:sz w:val="18"/>
          <w:szCs w:val="18"/>
          <w:bdr w:val="none" w:sz="0" w:space="0" w:color="auto"/>
          <w:lang w:val="it-IT"/>
        </w:rPr>
        <w:t>L’Accademia dello Showroom</w:t>
      </w:r>
      <w:r w:rsidRPr="00360074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 è una società di consulenza, specializzata nella formazione della filiera del settore delle costruzioni che da oltre 1</w:t>
      </w:r>
      <w:r w:rsidR="00705CE5">
        <w:rPr>
          <w:rFonts w:ascii="Barlow" w:hAnsi="Barlow"/>
          <w:sz w:val="18"/>
          <w:szCs w:val="18"/>
          <w:bdr w:val="none" w:sz="0" w:space="0" w:color="auto"/>
          <w:lang w:val="it-IT"/>
        </w:rPr>
        <w:t>5</w:t>
      </w:r>
      <w:r w:rsidRPr="00360074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 anni affianca aziende di produzione, distributori e progettisti nella creazione di strategie di crescita, nello sviluppo di percorsi formativi confezionati appositamente sulle reali necessità delle Aziende con cui collabora e nella costruzione di specifici strumenti di vendita. Il metodo di lavoro de </w:t>
      </w:r>
      <w:r w:rsidRPr="00360074">
        <w:rPr>
          <w:rFonts w:ascii="Barlow" w:hAnsi="Barlow"/>
          <w:b/>
          <w:bCs/>
          <w:sz w:val="18"/>
          <w:szCs w:val="18"/>
          <w:bdr w:val="none" w:sz="0" w:space="0" w:color="auto"/>
          <w:lang w:val="it-IT"/>
        </w:rPr>
        <w:t>L’Accademia dello Showroom</w:t>
      </w:r>
      <w:r w:rsidRPr="00360074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 si distingue per il forte orientamento al risultato attraverso una misurazione costante delle performance prima, durante e dopo la consulenza e un affiancamento “fisico” durante le attività di vendita post-formazione. Partner di Angaisa (</w:t>
      </w:r>
      <w:r w:rsidRPr="00360074">
        <w:rPr>
          <w:rFonts w:ascii="Barlow" w:hAnsi="Barlow"/>
          <w:i/>
          <w:iCs/>
          <w:sz w:val="18"/>
          <w:szCs w:val="18"/>
          <w:bdr w:val="none" w:sz="0" w:space="0" w:color="auto"/>
          <w:lang w:val="it-IT"/>
        </w:rPr>
        <w:t>Associazione Nazionale dei Distributori Italiani del settore ITS, arredobagno, pavimenti e rivestimenti</w:t>
      </w:r>
      <w:r w:rsidRPr="00360074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), per </w:t>
      </w:r>
    </w:p>
    <w:p w14:paraId="3082F726" w14:textId="4BE4A670" w:rsidR="00222EF6" w:rsidRPr="00360074" w:rsidRDefault="00222EF6" w:rsidP="00222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1"/>
        <w:jc w:val="both"/>
        <w:rPr>
          <w:rFonts w:ascii="Barlow" w:hAnsi="Barlow"/>
          <w:sz w:val="18"/>
          <w:szCs w:val="18"/>
          <w:bdr w:val="none" w:sz="0" w:space="0" w:color="auto"/>
          <w:lang w:val="it-IT"/>
        </w:rPr>
      </w:pPr>
      <w:r w:rsidRPr="00360074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la quale ha curato il percorso formativo sul ricambio generazionale, </w:t>
      </w:r>
      <w:r w:rsidRPr="00360074">
        <w:rPr>
          <w:rFonts w:ascii="Barlow" w:hAnsi="Barlow"/>
          <w:b/>
          <w:bCs/>
          <w:sz w:val="18"/>
          <w:szCs w:val="18"/>
          <w:bdr w:val="none" w:sz="0" w:space="0" w:color="auto"/>
          <w:lang w:val="it-IT"/>
        </w:rPr>
        <w:t>L’Accademia dello Showroom</w:t>
      </w:r>
      <w:r w:rsidRPr="00360074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 collabora con primarie Aziende di produzione (Grohe, Inda, Samo, Eclisse, Twin System</w:t>
      </w:r>
      <w:r w:rsidR="001E60E3">
        <w:rPr>
          <w:rFonts w:ascii="Barlow" w:hAnsi="Barlow"/>
          <w:sz w:val="18"/>
          <w:szCs w:val="18"/>
          <w:bdr w:val="none" w:sz="0" w:space="0" w:color="auto"/>
          <w:lang w:val="it-IT"/>
        </w:rPr>
        <w:t>s</w:t>
      </w:r>
      <w:r w:rsidRPr="00360074">
        <w:rPr>
          <w:rFonts w:ascii="Barlow" w:hAnsi="Barlow"/>
          <w:sz w:val="18"/>
          <w:szCs w:val="18"/>
          <w:bdr w:val="none" w:sz="0" w:space="0" w:color="auto"/>
          <w:lang w:val="it-IT"/>
        </w:rPr>
        <w:t xml:space="preserve"> Caesar e altre) e della distribuzione italiana (Orsolini, BigMat, Iter, 4Bild) e internazionale.</w:t>
      </w:r>
    </w:p>
    <w:p w14:paraId="6F12F653" w14:textId="77777777" w:rsidR="00705CE5" w:rsidRDefault="00705CE5" w:rsidP="00222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</w:p>
    <w:p w14:paraId="75F59335" w14:textId="77777777" w:rsidR="00705CE5" w:rsidRDefault="00705CE5" w:rsidP="00222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</w:p>
    <w:p w14:paraId="239B4BEA" w14:textId="77777777" w:rsidR="00705CE5" w:rsidRDefault="00705CE5" w:rsidP="00222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</w:p>
    <w:p w14:paraId="24F80589" w14:textId="77777777" w:rsidR="00705CE5" w:rsidRDefault="00705CE5" w:rsidP="00222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</w:p>
    <w:p w14:paraId="2B5048D1" w14:textId="17BC117F" w:rsidR="00222EF6" w:rsidRPr="00DD0777" w:rsidRDefault="00222EF6" w:rsidP="00222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  <w:r w:rsidRPr="00DD0777">
        <w:rPr>
          <w:rFonts w:ascii="Barlow" w:hAnsi="Barlow"/>
          <w:b/>
          <w:bCs/>
          <w:lang w:val="it-IT"/>
        </w:rPr>
        <w:t>IMMAGINI DISPONIBILI</w:t>
      </w:r>
    </w:p>
    <w:p w14:paraId="6A8BB304" w14:textId="77777777" w:rsidR="00222EF6" w:rsidRPr="00222EF6" w:rsidRDefault="00222EF6" w:rsidP="00222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right="818"/>
        <w:jc w:val="both"/>
        <w:rPr>
          <w:rFonts w:ascii="Barlow" w:eastAsia="NeueHaasGroteskDisp Std" w:hAnsi="Barlow" w:cs="NeueHaasGroteskDisp Std"/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4E5B6911" w14:textId="76A495E9" w:rsidR="00222EF6" w:rsidRDefault="00222EF6" w:rsidP="00222EF6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right="818"/>
        <w:jc w:val="center"/>
        <w:rPr>
          <w:rFonts w:ascii="Barlow" w:hAnsi="Barlow"/>
        </w:rPr>
      </w:pPr>
      <w:r w:rsidRPr="00222EF6">
        <w:rPr>
          <w:rFonts w:ascii="Barlow" w:hAnsi="Barlow"/>
          <w:noProof/>
        </w:rPr>
        <w:drawing>
          <wp:inline distT="0" distB="0" distL="0" distR="0" wp14:anchorId="2317F479" wp14:editId="73CF9575">
            <wp:extent cx="6120130" cy="6120130"/>
            <wp:effectExtent l="0" t="0" r="1270" b="1270"/>
            <wp:docPr id="1684046017" name="Immagine 1" descr="Immagine che contiene vestiti, persona, Viso umano, uom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46017" name="Immagine 1" descr="Immagine che contiene vestiti, persona, Viso umano, uomo&#10;&#10;Il contenuto generato dall'IA potrebbe non essere corret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30B33" w14:textId="19C00948" w:rsidR="00705CE5" w:rsidRPr="00705CE5" w:rsidRDefault="00705CE5" w:rsidP="00705CE5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right="818"/>
        <w:rPr>
          <w:rFonts w:ascii="Barlow" w:hAnsi="Barlow"/>
          <w:b/>
          <w:bCs/>
          <w:sz w:val="20"/>
          <w:szCs w:val="20"/>
        </w:rPr>
      </w:pPr>
      <w:r w:rsidRPr="00705CE5">
        <w:rPr>
          <w:rFonts w:ascii="Barlow" w:hAnsi="Barlow"/>
          <w:b/>
          <w:bCs/>
          <w:sz w:val="20"/>
          <w:szCs w:val="20"/>
        </w:rPr>
        <w:t>- Umberto Dall’Ava</w:t>
      </w:r>
    </w:p>
    <w:sectPr w:rsidR="00705CE5" w:rsidRPr="00705CE5" w:rsidSect="00E45B35">
      <w:headerReference w:type="default" r:id="rId7"/>
      <w:footerReference w:type="default" r:id="rId8"/>
      <w:pgSz w:w="11906" w:h="16838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2162" w14:textId="77777777" w:rsidR="00DA042B" w:rsidRDefault="00DA042B">
      <w:r>
        <w:separator/>
      </w:r>
    </w:p>
  </w:endnote>
  <w:endnote w:type="continuationSeparator" w:id="0">
    <w:p w14:paraId="69142A53" w14:textId="77777777" w:rsidR="00DA042B" w:rsidRDefault="00DA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NeueHaasGroteskDisp Std">
    <w:altName w:val="Cambria"/>
    <w:panose1 w:val="020B0604020202020204"/>
    <w:charset w:val="00"/>
    <w:family w:val="roman"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0316" w14:textId="77777777" w:rsidR="009E1899" w:rsidRDefault="00000000">
    <w:pPr>
      <w:pStyle w:val="Intestazioneepidipagina"/>
      <w:tabs>
        <w:tab w:val="clear" w:pos="9020"/>
        <w:tab w:val="center" w:pos="4819"/>
        <w:tab w:val="right" w:pos="9638"/>
      </w:tabs>
    </w:pPr>
    <w:r>
      <w:rPr>
        <w:rFonts w:ascii="Avenir Book" w:eastAsia="Avenir Book" w:hAnsi="Avenir Book" w:cs="Avenir Book"/>
        <w:sz w:val="18"/>
        <w:szCs w:val="18"/>
      </w:rPr>
      <w:tab/>
    </w:r>
    <w:r>
      <w:rPr>
        <w:rFonts w:ascii="Avenir Book" w:hAnsi="Avenir Book"/>
        <w:sz w:val="18"/>
        <w:szCs w:val="18"/>
      </w:rPr>
      <w:t>L’Accademia dello Showroom è un marchio Upstairs S.r.l.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1044" w14:textId="77777777" w:rsidR="00DA042B" w:rsidRDefault="00DA042B">
      <w:r>
        <w:separator/>
      </w:r>
    </w:p>
  </w:footnote>
  <w:footnote w:type="continuationSeparator" w:id="0">
    <w:p w14:paraId="234B79BD" w14:textId="77777777" w:rsidR="00DA042B" w:rsidRDefault="00DA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3FDF" w14:textId="78BE452B" w:rsidR="009E1899" w:rsidRDefault="00000000" w:rsidP="00222EF6">
    <w:pPr>
      <w:pStyle w:val="Intestazioneepidipagina"/>
      <w:tabs>
        <w:tab w:val="clear" w:pos="9020"/>
        <w:tab w:val="center" w:pos="4819"/>
        <w:tab w:val="right" w:pos="9638"/>
      </w:tabs>
      <w:spacing w:after="80"/>
    </w:pPr>
    <w:r>
      <w:rPr>
        <w:rFonts w:ascii="NeueHaasGroteskDisp Std" w:eastAsia="NeueHaasGroteskDisp Std" w:hAnsi="NeueHaasGroteskDisp Std" w:cs="NeueHaasGroteskDisp Std"/>
        <w:sz w:val="22"/>
        <w:szCs w:val="22"/>
        <w:u w:color="000000"/>
      </w:rPr>
      <w:tab/>
    </w:r>
    <w:r>
      <w:rPr>
        <w:rFonts w:ascii="NeueHaasGroteskDisp Std" w:eastAsia="NeueHaasGroteskDisp Std" w:hAnsi="NeueHaasGroteskDisp Std" w:cs="NeueHaasGroteskDisp Std"/>
        <w:sz w:val="22"/>
        <w:szCs w:val="22"/>
        <w:u w:color="000000"/>
      </w:rPr>
      <w:tab/>
    </w:r>
    <w:r>
      <w:rPr>
        <w:rFonts w:eastAsia="Helvetica Neue" w:cs="Helvetica Neue"/>
        <w:noProof/>
        <w:u w:color="000000"/>
      </w:rPr>
      <w:drawing>
        <wp:inline distT="0" distB="0" distL="0" distR="0" wp14:anchorId="5520957F" wp14:editId="5E14085E">
          <wp:extent cx="2212658" cy="902891"/>
          <wp:effectExtent l="0" t="0" r="0" b="0"/>
          <wp:docPr id="1073741825" name="officeArt object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ng" descr="Logo.png"/>
                  <pic:cNvPicPr>
                    <a:picLocks noChangeAspect="1"/>
                  </pic:cNvPicPr>
                </pic:nvPicPr>
                <pic:blipFill>
                  <a:blip r:embed="rId1"/>
                  <a:srcRect l="3908" t="29212" r="3908" b="29212"/>
                  <a:stretch>
                    <a:fillRect/>
                  </a:stretch>
                </pic:blipFill>
                <pic:spPr>
                  <a:xfrm>
                    <a:off x="0" y="0"/>
                    <a:ext cx="2212658" cy="9028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99"/>
    <w:rsid w:val="001E60E3"/>
    <w:rsid w:val="00222EF6"/>
    <w:rsid w:val="00355963"/>
    <w:rsid w:val="005467E2"/>
    <w:rsid w:val="005E1F00"/>
    <w:rsid w:val="00705CE5"/>
    <w:rsid w:val="008560F8"/>
    <w:rsid w:val="00926F9A"/>
    <w:rsid w:val="009460EC"/>
    <w:rsid w:val="009E1899"/>
    <w:rsid w:val="00C66FE2"/>
    <w:rsid w:val="00DA042B"/>
    <w:rsid w:val="00E45B35"/>
    <w:rsid w:val="00E4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113D4B"/>
  <w15:docId w15:val="{78709B7C-6AD7-9647-A39F-3FE2FECC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222E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2EF6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22E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2EF6"/>
    <w:rPr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05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Giuseppe Turatti</cp:lastModifiedBy>
  <cp:revision>2</cp:revision>
  <dcterms:created xsi:type="dcterms:W3CDTF">2025-07-28T17:22:00Z</dcterms:created>
  <dcterms:modified xsi:type="dcterms:W3CDTF">2025-07-28T17:22:00Z</dcterms:modified>
</cp:coreProperties>
</file>