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E79A" w14:textId="77777777" w:rsidR="00FF0EC7" w:rsidRPr="00F94321" w:rsidRDefault="00FF0EC7" w:rsidP="001E6A56">
      <w:pPr>
        <w:ind w:left="-284" w:right="-421"/>
        <w:rPr>
          <w:rFonts w:ascii="MS Reference Sans Serif" w:eastAsia="HGMaruGothicMPRO" w:hAnsi="MS Reference Sans Serif" w:cs="Arial"/>
          <w:b/>
          <w:bCs/>
          <w:sz w:val="24"/>
          <w:szCs w:val="24"/>
          <w:lang w:val="it-IT"/>
        </w:rPr>
      </w:pPr>
    </w:p>
    <w:p w14:paraId="5E6F503C" w14:textId="77777777" w:rsidR="00180121" w:rsidRPr="00F94321" w:rsidRDefault="00180121" w:rsidP="002D08CA">
      <w:pPr>
        <w:jc w:val="right"/>
        <w:rPr>
          <w:rFonts w:ascii="MS Reference Sans Serif" w:eastAsia="HGMaruGothicMPRO" w:hAnsi="MS Reference Sans Serif"/>
          <w:b/>
          <w:bCs/>
          <w:sz w:val="24"/>
          <w:szCs w:val="24"/>
          <w:lang w:val="it-IT"/>
        </w:rPr>
      </w:pPr>
      <w:r w:rsidRPr="00F94321">
        <w:rPr>
          <w:rFonts w:ascii="MS Reference Sans Serif" w:eastAsia="HGMaruGothicMPRO" w:hAnsi="MS Reference Sans Serif"/>
          <w:b/>
          <w:bCs/>
          <w:sz w:val="24"/>
          <w:szCs w:val="24"/>
          <w:lang w:val="it-IT"/>
        </w:rPr>
        <w:t>COMUNICATO STAMPA</w:t>
      </w:r>
    </w:p>
    <w:p w14:paraId="638C4F74" w14:textId="539F582A" w:rsidR="00180121" w:rsidRPr="00F94321" w:rsidRDefault="00D9328C" w:rsidP="002D08CA">
      <w:pPr>
        <w:jc w:val="right"/>
        <w:rPr>
          <w:rFonts w:ascii="MS Reference Sans Serif" w:eastAsia="HGMaruGothicMPRO" w:hAnsi="MS Reference Sans Serif"/>
          <w:sz w:val="24"/>
          <w:szCs w:val="24"/>
          <w:lang w:val="it-IT"/>
        </w:rPr>
      </w:pPr>
      <w:r>
        <w:rPr>
          <w:rFonts w:ascii="MS Reference Sans Serif" w:eastAsia="HGMaruGothicMPRO" w:hAnsi="MS Reference Sans Serif"/>
          <w:noProof/>
          <w:sz w:val="24"/>
          <w:szCs w:val="24"/>
          <w:lang w:val="it-IT"/>
        </w:rPr>
        <w:drawing>
          <wp:inline distT="0" distB="0" distL="0" distR="0" wp14:anchorId="23061468" wp14:editId="3F66338F">
            <wp:extent cx="4065016" cy="1699209"/>
            <wp:effectExtent l="0" t="0" r="0" b="3175"/>
            <wp:docPr id="9333574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57497" name="Immagine 93335749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249" cy="1709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0121" w:rsidRPr="00F94321">
        <w:rPr>
          <w:rFonts w:ascii="MS Reference Sans Serif" w:eastAsia="HGMaruGothicMPRO" w:hAnsi="MS Reference Sans Serif"/>
          <w:sz w:val="24"/>
          <w:szCs w:val="24"/>
          <w:lang w:val="it-IT"/>
        </w:rPr>
        <w:t xml:space="preserve">  </w:t>
      </w:r>
    </w:p>
    <w:p w14:paraId="56C19938" w14:textId="04C842DA" w:rsidR="00180121" w:rsidRPr="00F94321" w:rsidRDefault="005D4A63" w:rsidP="002D08CA">
      <w:pPr>
        <w:rPr>
          <w:rStyle w:val="Enfasigrassetto"/>
          <w:rFonts w:ascii="MS Reference Sans Serif" w:eastAsia="HGMaruGothicMPRO" w:hAnsi="MS Reference Sans Serif"/>
          <w:b w:val="0"/>
          <w:bCs w:val="0"/>
          <w:sz w:val="24"/>
          <w:szCs w:val="24"/>
          <w:lang w:val="it-IT"/>
        </w:rPr>
      </w:pPr>
      <w:r w:rsidRPr="005D4A63">
        <w:rPr>
          <w:rFonts w:ascii="MS Reference Sans Serif" w:eastAsia="HGMaruGothicMPRO" w:hAnsi="MS Reference Sans Serif"/>
          <w:noProof/>
          <w:sz w:val="24"/>
          <w:szCs w:val="24"/>
          <w:lang w:val="it-IT"/>
        </w:rPr>
        <w:pict w14:anchorId="36F20639">
          <v:rect id="_x0000_i1026" alt="" style="width:441.4pt;height:.05pt;mso-width-percent:0;mso-height-percent:0;mso-width-percent:0;mso-height-percent:0" o:hrpct="916" o:hralign="center" o:hrstd="t" o:hr="t" fillcolor="#a0a0a0" stroked="f"/>
        </w:pict>
      </w:r>
    </w:p>
    <w:p w14:paraId="4BB22958" w14:textId="77777777" w:rsidR="00F94321" w:rsidRPr="00F94321" w:rsidRDefault="00F94321" w:rsidP="00F94321">
      <w:pPr>
        <w:pStyle w:val="Titolo1"/>
        <w:rPr>
          <w:rFonts w:ascii="MS Reference Sans Serif" w:eastAsia="HGMaruGothicMPRO" w:hAnsi="MS Reference Sans Serif"/>
          <w:color w:val="000000"/>
          <w:sz w:val="32"/>
          <w:szCs w:val="32"/>
          <w:lang w:val="it-IT"/>
        </w:rPr>
      </w:pPr>
      <w:r w:rsidRPr="00F94321">
        <w:rPr>
          <w:rStyle w:val="Enfasigrassetto"/>
          <w:rFonts w:ascii="MS Reference Sans Serif" w:eastAsia="HGMaruGothicMPRO" w:hAnsi="MS Reference Sans Serif"/>
          <w:color w:val="000000"/>
          <w:sz w:val="32"/>
          <w:szCs w:val="32"/>
          <w:lang w:val="it-IT"/>
        </w:rPr>
        <w:t>La poesia dell’acqua nelle collezioni cucina di GRAFF</w:t>
      </w:r>
    </w:p>
    <w:p w14:paraId="0CE9012B" w14:textId="77777777" w:rsidR="00F94321" w:rsidRP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>C’è un momento, in ogni casa, in cui il silenzio si interrompe con il suono dell’acqua: una tazza che si riempie, una mano che si rinfresca. Gesti semplici, quotidiani. Ma con un miscelatore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GRAFF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, anche questi attimi si trasformano in esperienze di puro design, in cui ogni collezione eleva l’arte del vivere.</w:t>
      </w:r>
    </w:p>
    <w:p w14:paraId="61DE8D2F" w14:textId="77777777" w:rsidR="00F94321" w:rsidRP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>Anche in cucina, GRAFF firma collezioni capaci di esprimere uno stile preciso, riflettere un gusto personale e dialogare in armonia con l’ambiente circostante. Dalle linee più classiche e intramontabili, come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Segovia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e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proofErr w:type="spellStart"/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Adley</w:t>
      </w:r>
      <w:proofErr w:type="spellEnd"/>
      <w:r w:rsidRPr="00F94321">
        <w:rPr>
          <w:rFonts w:ascii="MS Reference Sans Serif" w:eastAsia="HGMaruGothicMPRO" w:hAnsi="MS Reference Sans Serif"/>
          <w:color w:val="000000"/>
          <w:lang w:val="it-IT"/>
        </w:rPr>
        <w:t>, che coniugano eleganza tradizionale e raffinatezza formale, fino alle soluzioni più contemporanee e sofisticate come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Futurismo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, caratterizzata da dettagli artigianali che si inseriscono con disinvoltura sia negli interni moderni che in quelli più tradizionali.</w:t>
      </w:r>
    </w:p>
    <w:p w14:paraId="31DB379D" w14:textId="77777777" w:rsid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>A portare un tocco di energia e dinamismo è invece la collezione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Harley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, vero e proprio emblema delle cucine high-performance: curve morbide, finiture brillanti e una presenza scenica che illumina lo spazio. Per chi invece ama l’essenzialità del minimalismo, la collezione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M.E.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propone linee pure e bilanciate, con due varianti di getto e di comando che fondono al meglio estetica e funzionalità.</w:t>
      </w:r>
    </w:p>
    <w:p w14:paraId="179DA6B1" w14:textId="77777777" w:rsidR="00D9328C" w:rsidRDefault="00D9328C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</w:p>
    <w:p w14:paraId="165A8AC2" w14:textId="77777777" w:rsidR="00D9328C" w:rsidRDefault="00D9328C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</w:p>
    <w:p w14:paraId="07101344" w14:textId="77777777" w:rsidR="00D9328C" w:rsidRDefault="00D9328C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</w:p>
    <w:p w14:paraId="6E7AFA09" w14:textId="77777777" w:rsidR="00D9328C" w:rsidRPr="00F94321" w:rsidRDefault="00D9328C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</w:p>
    <w:p w14:paraId="02FC7C9E" w14:textId="7ED725EC" w:rsidR="00F94321" w:rsidRP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 xml:space="preserve">Come sempre, il </w:t>
      </w:r>
      <w:proofErr w:type="gramStart"/>
      <w:r w:rsidRPr="00F94321">
        <w:rPr>
          <w:rFonts w:ascii="MS Reference Sans Serif" w:eastAsia="HGMaruGothicMPRO" w:hAnsi="MS Reference Sans Serif"/>
          <w:color w:val="000000"/>
          <w:lang w:val="it-IT"/>
        </w:rPr>
        <w:t>brand</w:t>
      </w:r>
      <w:proofErr w:type="gramEnd"/>
      <w:r w:rsidRPr="00F94321">
        <w:rPr>
          <w:rFonts w:ascii="MS Reference Sans Serif" w:eastAsia="HGMaruGothicMPRO" w:hAnsi="MS Reference Sans Serif"/>
          <w:color w:val="000000"/>
          <w:lang w:val="it-IT"/>
        </w:rPr>
        <w:t xml:space="preserve"> americano interpreta la rubinetteria come un’opera che va oltre il tempo e lo stile, distinguendosi per eccellenza costruttiva, cura del dettaglio ed eleganza universale. Prodotti pensati per chi, in ogni parte del mondo, desidera vivere la casa come uno spazio da sentire, abitare e amare.</w:t>
      </w:r>
    </w:p>
    <w:p w14:paraId="63E2AC19" w14:textId="77777777" w:rsidR="00F94321" w:rsidRPr="00F94321" w:rsidRDefault="005D4A63" w:rsidP="00F94321">
      <w:pPr>
        <w:rPr>
          <w:rFonts w:ascii="MS Reference Sans Serif" w:eastAsia="HGMaruGothicMPRO" w:hAnsi="MS Reference Sans Serif"/>
          <w:sz w:val="24"/>
          <w:szCs w:val="24"/>
          <w:lang w:val="it-IT"/>
        </w:rPr>
      </w:pPr>
      <w:r w:rsidRPr="005D4A63">
        <w:rPr>
          <w:rFonts w:ascii="MS Reference Sans Serif" w:eastAsia="HGMaruGothicMPRO" w:hAnsi="MS Reference Sans Serif"/>
          <w:noProof/>
          <w:sz w:val="24"/>
          <w:szCs w:val="24"/>
          <w:lang w:val="it-IT"/>
        </w:rPr>
        <w:pict w14:anchorId="17379DEC">
          <v:rect id="_x0000_i1025" alt="" style="width:454.45pt;height:.05pt;mso-width-percent:0;mso-height-percent:0;mso-width-percent:0;mso-height-percent:0" o:hrpct="943" o:hralign="center" o:hrstd="t" o:hr="t" fillcolor="#a0a0a0" stroked="f"/>
        </w:pict>
      </w:r>
    </w:p>
    <w:p w14:paraId="09F116B9" w14:textId="77777777" w:rsidR="00F94321" w:rsidRPr="00F94321" w:rsidRDefault="00F94321" w:rsidP="00F94321">
      <w:pPr>
        <w:pStyle w:val="Titolo3"/>
        <w:rPr>
          <w:rFonts w:ascii="MS Reference Sans Serif" w:eastAsia="HGMaruGothicMPRO" w:hAnsi="MS Reference Sans Serif"/>
          <w:color w:val="000000"/>
          <w:sz w:val="24"/>
          <w:szCs w:val="24"/>
          <w:lang w:val="it-IT"/>
        </w:rPr>
      </w:pPr>
      <w:r w:rsidRPr="00F94321">
        <w:rPr>
          <w:rStyle w:val="Enfasigrassetto"/>
          <w:rFonts w:ascii="MS Reference Sans Serif" w:eastAsia="HGMaruGothicMPRO" w:hAnsi="MS Reference Sans Serif"/>
          <w:b w:val="0"/>
          <w:bCs w:val="0"/>
          <w:color w:val="000000"/>
          <w:sz w:val="24"/>
          <w:szCs w:val="24"/>
          <w:lang w:val="it-IT"/>
        </w:rPr>
        <w:t>GRAFF – L’Arte del Bagno e della Cucina</w:t>
      </w:r>
    </w:p>
    <w:p w14:paraId="0101704E" w14:textId="77777777" w:rsidR="00F94321" w:rsidRP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>Il viaggio di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GRAFF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inizia negli anni ’70, quando il fondatore e CEO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 xml:space="preserve">Ziggy </w:t>
      </w:r>
      <w:proofErr w:type="spellStart"/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Kulig</w:t>
      </w:r>
      <w:proofErr w:type="spellEnd"/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approda negli Stati Uniti dall’Europa con l’ambizione di portare creatività, innovazione e perfezione in un settore in evoluzione. Nel 1982 inaugura il primo stabilimento produttivo, dando vita a un percorso che unisce l’ispirazione del design europeo all’ingegnosità americana.</w:t>
      </w:r>
    </w:p>
    <w:p w14:paraId="2F3E238C" w14:textId="77777777" w:rsidR="00F94321" w:rsidRP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 xml:space="preserve">Per rispondere a una domanda crescente, acquisisce </w:t>
      </w:r>
      <w:proofErr w:type="spellStart"/>
      <w:r w:rsidRPr="00F94321">
        <w:rPr>
          <w:rFonts w:ascii="MS Reference Sans Serif" w:eastAsia="HGMaruGothicMPRO" w:hAnsi="MS Reference Sans Serif"/>
          <w:color w:val="000000"/>
          <w:lang w:val="it-IT"/>
        </w:rPr>
        <w:t>Valvex</w:t>
      </w:r>
      <w:proofErr w:type="spellEnd"/>
      <w:r w:rsidRPr="00F94321">
        <w:rPr>
          <w:rFonts w:ascii="MS Reference Sans Serif" w:eastAsia="HGMaruGothicMPRO" w:hAnsi="MS Reference Sans Serif"/>
          <w:color w:val="000000"/>
          <w:lang w:val="it-IT"/>
        </w:rPr>
        <w:t xml:space="preserve"> – azienda europea fondata nel 1922 – e crea un sistema produttivo completamente integrato verticalmente: ogni prodotto viene progettato, fuso, lucidato e finito internamente, con la massima cura artigianale e tecnologia all’avanguardia.</w:t>
      </w:r>
    </w:p>
    <w:p w14:paraId="7DE68913" w14:textId="77777777" w:rsidR="00F94321" w:rsidRP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>La filosofia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“Art of Bath”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(oggi anche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corsivo"/>
          <w:rFonts w:ascii="MS Reference Sans Serif" w:eastAsia="HGMaruGothicMPRO" w:hAnsi="MS Reference Sans Serif"/>
          <w:color w:val="000000"/>
          <w:lang w:val="it-IT"/>
        </w:rPr>
        <w:t>Art of Kitchen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) guida l’azienda nel trasformare le idee in soluzioni concrete, con infinite possibilità di personalizzazione. Parallelamente, l’impegno verso la sostenibilità è centrale: certificata</w:t>
      </w:r>
      <w:r w:rsidRPr="00F94321">
        <w:rPr>
          <w:rStyle w:val="apple-converted-space"/>
          <w:rFonts w:ascii="MS Reference Sans Serif" w:eastAsia="HGMaruGothicMPRO" w:hAnsi="MS Reference Sans Serif"/>
          <w:color w:val="000000"/>
          <w:lang w:val="it-IT"/>
        </w:rPr>
        <w:t> </w:t>
      </w:r>
      <w:r w:rsidRPr="00F94321">
        <w:rPr>
          <w:rStyle w:val="Enfasigrassetto"/>
          <w:rFonts w:ascii="MS Reference Sans Serif" w:eastAsia="HGMaruGothicMPRO" w:hAnsi="MS Reference Sans Serif"/>
          <w:color w:val="000000"/>
          <w:lang w:val="it-IT"/>
        </w:rPr>
        <w:t>ISO 14001</w:t>
      </w:r>
      <w:r w:rsidRPr="00F94321">
        <w:rPr>
          <w:rFonts w:ascii="MS Reference Sans Serif" w:eastAsia="HGMaruGothicMPRO" w:hAnsi="MS Reference Sans Serif"/>
          <w:color w:val="000000"/>
          <w:lang w:val="it-IT"/>
        </w:rPr>
        <w:t>, GRAFF rispetta rigorosi standard ambientali, riducendo sprechi e promuovendo una produzione responsabile.</w:t>
      </w:r>
    </w:p>
    <w:p w14:paraId="102593BB" w14:textId="77777777" w:rsidR="00F94321" w:rsidRPr="00F94321" w:rsidRDefault="00F94321" w:rsidP="00F94321">
      <w:pPr>
        <w:pStyle w:val="NormaleWeb"/>
        <w:rPr>
          <w:rFonts w:ascii="MS Reference Sans Serif" w:eastAsia="HGMaruGothicMPRO" w:hAnsi="MS Reference Sans Serif"/>
          <w:color w:val="000000"/>
          <w:lang w:val="it-IT"/>
        </w:rPr>
      </w:pPr>
      <w:r w:rsidRPr="00F94321">
        <w:rPr>
          <w:rFonts w:ascii="MS Reference Sans Serif" w:eastAsia="HGMaruGothicMPRO" w:hAnsi="MS Reference Sans Serif"/>
          <w:color w:val="000000"/>
          <w:lang w:val="it-IT"/>
        </w:rPr>
        <w:t>GRAFF è oggi riconosciuta a livello internazionale come interprete di un lusso autentico, fatto di innovazione, qualità e poesia dell’acqua.</w:t>
      </w:r>
    </w:p>
    <w:p w14:paraId="1F5258C6" w14:textId="7FAE5EA5" w:rsidR="004A186D" w:rsidRPr="001E6A56" w:rsidRDefault="004A186D" w:rsidP="00090F2C">
      <w:pPr>
        <w:jc w:val="center"/>
        <w:rPr>
          <w:rFonts w:ascii="Arial" w:hAnsi="Arial" w:cs="Arial"/>
          <w:color w:val="FFFFFF" w:themeColor="background1"/>
          <w:shd w:val="clear" w:color="auto" w:fill="000000"/>
        </w:rPr>
      </w:pPr>
    </w:p>
    <w:sectPr w:rsidR="004A186D" w:rsidRPr="001E6A56" w:rsidSect="00F633E9">
      <w:headerReference w:type="default" r:id="rId8"/>
      <w:footerReference w:type="default" r:id="rId9"/>
      <w:pgSz w:w="12240" w:h="15840"/>
      <w:pgMar w:top="1216" w:right="1440" w:bottom="12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6D37" w14:textId="77777777" w:rsidR="005D4A63" w:rsidRDefault="005D4A63" w:rsidP="00901925">
      <w:pPr>
        <w:spacing w:after="0" w:line="240" w:lineRule="auto"/>
      </w:pPr>
      <w:r>
        <w:separator/>
      </w:r>
    </w:p>
  </w:endnote>
  <w:endnote w:type="continuationSeparator" w:id="0">
    <w:p w14:paraId="2C15E723" w14:textId="77777777" w:rsidR="005D4A63" w:rsidRDefault="005D4A63" w:rsidP="009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3B44" w14:textId="7E6057F6" w:rsidR="001E6A56" w:rsidRDefault="001E6A56">
    <w:pPr>
      <w:pStyle w:val="Pidipagina"/>
    </w:pPr>
    <w:r w:rsidRPr="00AD0137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4B720" wp14:editId="0FEDB155">
              <wp:simplePos x="0" y="0"/>
              <wp:positionH relativeFrom="column">
                <wp:posOffset>-299539</wp:posOffset>
              </wp:positionH>
              <wp:positionV relativeFrom="paragraph">
                <wp:posOffset>-533400</wp:posOffset>
              </wp:positionV>
              <wp:extent cx="2148840" cy="652780"/>
              <wp:effectExtent l="0" t="0" r="0" b="0"/>
              <wp:wrapSquare wrapText="bothSides"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EB94AAC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GRAFF EUROPE</w:t>
                          </w:r>
                        </w:p>
                        <w:p w14:paraId="39906730" w14:textId="6F452670" w:rsidR="001E6A56" w:rsidRPr="00C721B8" w:rsidRDefault="00C721B8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C721B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Via Nino Bixio, 7 – 20129 Milan.</w:t>
                          </w:r>
                          <w:r w:rsidRPr="00C721B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1E6A56" w:rsidRPr="00C721B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info@graff-designs.com</w:t>
                          </w:r>
                        </w:p>
                        <w:p w14:paraId="73D3808A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www.graff-designs.com</w:t>
                            </w:r>
                          </w:hyperlink>
                        </w:p>
                        <w:p w14:paraId="13F721C0" w14:textId="77777777" w:rsidR="001E6A56" w:rsidRPr="00EC1FAA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Helvetica-Bold"/>
                              <w:b/>
                              <w:bCs/>
                              <w:color w:val="000307"/>
                              <w:sz w:val="18"/>
                              <w:szCs w:val="18"/>
                            </w:rPr>
                          </w:pPr>
                        </w:p>
                        <w:p w14:paraId="0AD680B8" w14:textId="77777777" w:rsidR="001E6A56" w:rsidRDefault="001E6A56" w:rsidP="001E6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4B720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-23.6pt;margin-top:-42pt;width:169.2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" filled="f" stroked="f">
              <v:textbox>
                <w:txbxContent>
                  <w:p w14:paraId="7EB94AAC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GRAFF EUROPE</w:t>
                    </w:r>
                  </w:p>
                  <w:p w14:paraId="39906730" w14:textId="6F452670" w:rsidR="001E6A56" w:rsidRPr="00C721B8" w:rsidRDefault="00C721B8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C721B8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Via Nino Bixio, 7 – 20129 Milan.</w:t>
                    </w:r>
                    <w:r w:rsidRPr="00C721B8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1E6A56" w:rsidRPr="00C721B8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info@graff-designs.com</w:t>
                    </w:r>
                  </w:p>
                  <w:p w14:paraId="73D3808A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hyperlink r:id="rId2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www.graff-designs.com</w:t>
                      </w:r>
                    </w:hyperlink>
                  </w:p>
                  <w:p w14:paraId="13F721C0" w14:textId="77777777" w:rsidR="001E6A56" w:rsidRPr="00EC1FAA" w:rsidRDefault="001E6A56" w:rsidP="001E6A5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Helvetica-Bold"/>
                        <w:b/>
                        <w:bCs/>
                        <w:color w:val="000307"/>
                        <w:sz w:val="18"/>
                        <w:szCs w:val="18"/>
                      </w:rPr>
                    </w:pPr>
                  </w:p>
                  <w:p w14:paraId="0AD680B8" w14:textId="77777777" w:rsidR="001E6A56" w:rsidRDefault="001E6A56" w:rsidP="001E6A56"/>
                </w:txbxContent>
              </v:textbox>
              <w10:wrap type="square"/>
            </v:shape>
          </w:pict>
        </mc:Fallback>
      </mc:AlternateContent>
    </w:r>
    <w:r w:rsidRPr="002B7A44">
      <w:rPr>
        <w:rFonts w:ascii="Arial Nova" w:hAnsi="Arial Nova" w:cs="Arial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6A182" wp14:editId="249390CE">
              <wp:simplePos x="0" y="0"/>
              <wp:positionH relativeFrom="column">
                <wp:posOffset>1978933</wp:posOffset>
              </wp:positionH>
              <wp:positionV relativeFrom="paragraph">
                <wp:posOffset>-1023892</wp:posOffset>
              </wp:positionV>
              <wp:extent cx="2152356" cy="1600200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356" cy="160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9DF4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Ufficio Stampa e Digital PR: </w:t>
                          </w:r>
                          <w:proofErr w:type="spellStart"/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proofErr w:type="spellEnd"/>
                        </w:p>
                        <w:p w14:paraId="01F8CFDE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press@taconline.it</w:t>
                          </w:r>
                        </w:p>
                        <w:p w14:paraId="414B15F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  <w:hyperlink r:id="rId3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7897A0C4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BFF7AD5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Contatti di riferimento </w:t>
                          </w:r>
                        </w:p>
                        <w:p w14:paraId="43183258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Paola Staiano</w:t>
                          </w:r>
                        </w:p>
                        <w:p w14:paraId="12502247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hyperlink r:id="rId4" w:history="1">
                            <w:r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it-IT"/>
                              </w:rPr>
                              <w:t>staiano@taconline.it</w:t>
                            </w:r>
                          </w:hyperlink>
                        </w:p>
                        <w:p w14:paraId="273FBC23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+39 3356347576</w:t>
                          </w:r>
                        </w:p>
                        <w:p w14:paraId="532142FC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E13A732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  <w:t>Giulia Solari</w:t>
                          </w:r>
                        </w:p>
                        <w:p w14:paraId="1302075A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solari@taconline.it</w:t>
                          </w:r>
                        </w:p>
                        <w:p w14:paraId="4FE0C789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+39 3201841476</w:t>
                          </w:r>
                        </w:p>
                        <w:p w14:paraId="7D53A350" w14:textId="77777777" w:rsidR="001E6A56" w:rsidRPr="00A12E49" w:rsidRDefault="001E6A56" w:rsidP="001E6A56">
                          <w:pPr>
                            <w:rPr>
                              <w:rFonts w:asciiTheme="majorHAnsi" w:hAnsiTheme="majorHAnsi" w:cstheme="majorHAnsi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46A182" id="Casella di testo 16" o:spid="_x0000_s1027" type="#_x0000_t202" style="position:absolute;margin-left:155.8pt;margin-top:-80.6pt;width:169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" filled="f" stroked="f" strokeweight=".5pt">
              <v:textbox>
                <w:txbxContent>
                  <w:p w14:paraId="79F9DF4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Ufficio Stampa e Digital PR: </w:t>
                    </w:r>
                    <w:proofErr w:type="spellStart"/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proofErr w:type="spellEnd"/>
                  </w:p>
                  <w:p w14:paraId="01F8CFDE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press@taconline.it</w:t>
                    </w:r>
                  </w:p>
                  <w:p w14:paraId="414B15F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  <w:hyperlink r:id="rId5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7897A0C4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BFF7AD5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Contatti di riferimento </w:t>
                    </w:r>
                  </w:p>
                  <w:p w14:paraId="43183258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Paola Staiano</w:t>
                    </w:r>
                  </w:p>
                  <w:p w14:paraId="12502247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hyperlink r:id="rId6" w:history="1">
                      <w:r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it-IT"/>
                        </w:rPr>
                        <w:t>staiano@taconline.it</w:t>
                      </w:r>
                    </w:hyperlink>
                  </w:p>
                  <w:p w14:paraId="273FBC23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+39 3356347576</w:t>
                    </w:r>
                  </w:p>
                  <w:p w14:paraId="532142FC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E13A732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  <w:t>Giulia Solari</w:t>
                    </w:r>
                  </w:p>
                  <w:p w14:paraId="1302075A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solari@taconline.it</w:t>
                    </w:r>
                  </w:p>
                  <w:p w14:paraId="4FE0C789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+39 3201841476</w:t>
                    </w:r>
                  </w:p>
                  <w:p w14:paraId="7D53A350" w14:textId="77777777" w:rsidR="001E6A56" w:rsidRPr="00A12E49" w:rsidRDefault="001E6A56" w:rsidP="001E6A56">
                    <w:pPr>
                      <w:rPr>
                        <w:rFonts w:asciiTheme="majorHAnsi" w:hAnsiTheme="majorHAnsi" w:cstheme="majorHAnsi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68FD" w14:textId="77777777" w:rsidR="005D4A63" w:rsidRDefault="005D4A63" w:rsidP="00901925">
      <w:pPr>
        <w:spacing w:after="0" w:line="240" w:lineRule="auto"/>
      </w:pPr>
      <w:r>
        <w:separator/>
      </w:r>
    </w:p>
  </w:footnote>
  <w:footnote w:type="continuationSeparator" w:id="0">
    <w:p w14:paraId="0CBC0E39" w14:textId="77777777" w:rsidR="005D4A63" w:rsidRDefault="005D4A63" w:rsidP="0090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19FC" w14:textId="4263BA23" w:rsidR="00901925" w:rsidRDefault="00F600D2" w:rsidP="002D08CA">
    <w:pPr>
      <w:pStyle w:val="Intestazione"/>
      <w:jc w:val="right"/>
    </w:pPr>
    <w:r>
      <w:rPr>
        <w:noProof/>
      </w:rPr>
      <w:drawing>
        <wp:inline distT="0" distB="0" distL="0" distR="0" wp14:anchorId="06E8B20D" wp14:editId="338FAD18">
          <wp:extent cx="1652291" cy="606013"/>
          <wp:effectExtent l="0" t="0" r="5080" b="3810"/>
          <wp:docPr id="1" name="Immagine 1" descr="Immagine che contiene disegnand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F Art of Bath Logo_2020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291" cy="60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E6E"/>
    <w:multiLevelType w:val="multilevel"/>
    <w:tmpl w:val="2E4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2335C"/>
    <w:multiLevelType w:val="multilevel"/>
    <w:tmpl w:val="206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0350">
    <w:abstractNumId w:val="1"/>
  </w:num>
  <w:num w:numId="2" w16cid:durableId="103168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7"/>
    <w:rsid w:val="00052FFF"/>
    <w:rsid w:val="0005499E"/>
    <w:rsid w:val="0006521E"/>
    <w:rsid w:val="00073CF7"/>
    <w:rsid w:val="00090F2C"/>
    <w:rsid w:val="000D43D4"/>
    <w:rsid w:val="000F796D"/>
    <w:rsid w:val="00107AC7"/>
    <w:rsid w:val="00170ACB"/>
    <w:rsid w:val="00180121"/>
    <w:rsid w:val="001D7536"/>
    <w:rsid w:val="001E210F"/>
    <w:rsid w:val="001E6A56"/>
    <w:rsid w:val="001F7B8B"/>
    <w:rsid w:val="0024143D"/>
    <w:rsid w:val="00275D2D"/>
    <w:rsid w:val="002C57C8"/>
    <w:rsid w:val="002C6FAC"/>
    <w:rsid w:val="002D08CA"/>
    <w:rsid w:val="003013BA"/>
    <w:rsid w:val="003D4C0D"/>
    <w:rsid w:val="003E6480"/>
    <w:rsid w:val="0040522D"/>
    <w:rsid w:val="004320AF"/>
    <w:rsid w:val="0048152F"/>
    <w:rsid w:val="0048251F"/>
    <w:rsid w:val="00486E60"/>
    <w:rsid w:val="004A186D"/>
    <w:rsid w:val="00584C86"/>
    <w:rsid w:val="005C1993"/>
    <w:rsid w:val="005D4A63"/>
    <w:rsid w:val="00607345"/>
    <w:rsid w:val="00631167"/>
    <w:rsid w:val="006701C4"/>
    <w:rsid w:val="00875E58"/>
    <w:rsid w:val="00901925"/>
    <w:rsid w:val="009046FF"/>
    <w:rsid w:val="009A1786"/>
    <w:rsid w:val="00AD69A7"/>
    <w:rsid w:val="00B245C7"/>
    <w:rsid w:val="00B91D23"/>
    <w:rsid w:val="00C721B8"/>
    <w:rsid w:val="00D522A4"/>
    <w:rsid w:val="00D9328C"/>
    <w:rsid w:val="00E46CAA"/>
    <w:rsid w:val="00E77E41"/>
    <w:rsid w:val="00EA0DFA"/>
    <w:rsid w:val="00EF4701"/>
    <w:rsid w:val="00F27583"/>
    <w:rsid w:val="00F600D2"/>
    <w:rsid w:val="00F633E9"/>
    <w:rsid w:val="00F94321"/>
    <w:rsid w:val="00FE2018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1C422"/>
  <w15:chartTrackingRefBased/>
  <w15:docId w15:val="{634579B1-EE3B-41FA-9AE8-7B3DCD36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C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C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C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C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C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925"/>
  </w:style>
  <w:style w:type="paragraph" w:styleId="Pidipagina">
    <w:name w:val="footer"/>
    <w:basedOn w:val="Normale"/>
    <w:link w:val="Pidipagina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925"/>
  </w:style>
  <w:style w:type="paragraph" w:styleId="NormaleWeb">
    <w:name w:val="Normal (Web)"/>
    <w:basedOn w:val="Normale"/>
    <w:uiPriority w:val="99"/>
    <w:unhideWhenUsed/>
    <w:rsid w:val="004A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llegamentoipertestuale">
    <w:name w:val="Hyperlink"/>
    <w:rsid w:val="004A186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A186D"/>
  </w:style>
  <w:style w:type="character" w:styleId="Enfasigrassetto">
    <w:name w:val="Strong"/>
    <w:basedOn w:val="Carpredefinitoparagrafo"/>
    <w:uiPriority w:val="22"/>
    <w:qFormat/>
    <w:rsid w:val="00EF47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3E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77E4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graff-designs.com" TargetMode="External"/><Relationship Id="rId1" Type="http://schemas.openxmlformats.org/officeDocument/2006/relationships/hyperlink" Target="http://www.graff-designs.com" TargetMode="External"/><Relationship Id="rId6" Type="http://schemas.openxmlformats.org/officeDocument/2006/relationships/hyperlink" Target="mailto:staiano@taconline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staiano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Paola Staiano</cp:lastModifiedBy>
  <cp:revision>3</cp:revision>
  <cp:lastPrinted>2025-01-29T21:21:00Z</cp:lastPrinted>
  <dcterms:created xsi:type="dcterms:W3CDTF">2025-09-04T15:03:00Z</dcterms:created>
  <dcterms:modified xsi:type="dcterms:W3CDTF">2025-09-09T07:46:00Z</dcterms:modified>
</cp:coreProperties>
</file>