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B6F3" w14:textId="77777777" w:rsidR="00EF7548" w:rsidRDefault="00EF7548" w:rsidP="009A48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lang w:val="it-IT"/>
        </w:rPr>
      </w:pPr>
    </w:p>
    <w:p w14:paraId="08666A00" w14:textId="77777777" w:rsidR="00EF7548" w:rsidRDefault="00EF7548" w:rsidP="009A48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lang w:val="it-IT"/>
        </w:rPr>
      </w:pPr>
    </w:p>
    <w:p w14:paraId="2967F8B1" w14:textId="10E04FE9" w:rsidR="00222EF6" w:rsidRPr="009A48E7" w:rsidRDefault="00222EF6" w:rsidP="009A48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lang w:val="it-IT"/>
        </w:rPr>
      </w:pPr>
      <w:r w:rsidRPr="009A48E7">
        <w:rPr>
          <w:rFonts w:ascii="Barlow" w:hAnsi="Barlow"/>
          <w:b/>
          <w:bCs/>
          <w:lang w:val="it-IT"/>
        </w:rPr>
        <w:t xml:space="preserve">Comunicato stampa | </w:t>
      </w:r>
      <w:r w:rsidR="00DA5B81">
        <w:rPr>
          <w:rFonts w:ascii="Barlow" w:hAnsi="Barlow"/>
          <w:b/>
          <w:bCs/>
          <w:lang w:val="it-IT"/>
        </w:rPr>
        <w:t>E</w:t>
      </w:r>
      <w:r w:rsidR="00624D90" w:rsidRPr="009A48E7">
        <w:rPr>
          <w:rFonts w:ascii="Barlow" w:hAnsi="Barlow"/>
          <w:b/>
          <w:bCs/>
          <w:lang w:val="it-IT"/>
        </w:rPr>
        <w:t>venti</w:t>
      </w:r>
      <w:r w:rsidRPr="009A48E7">
        <w:rPr>
          <w:rFonts w:ascii="Barlow" w:hAnsi="Barlow"/>
          <w:b/>
          <w:bCs/>
          <w:lang w:val="it-IT"/>
        </w:rPr>
        <w:t xml:space="preserve"> | </w:t>
      </w:r>
      <w:r w:rsidR="00DA5B81">
        <w:rPr>
          <w:rFonts w:ascii="Barlow" w:hAnsi="Barlow"/>
          <w:b/>
          <w:bCs/>
          <w:lang w:val="it-IT"/>
        </w:rPr>
        <w:t>Anteprima MCE 2026</w:t>
      </w:r>
    </w:p>
    <w:p w14:paraId="06C1B1B6" w14:textId="77777777" w:rsidR="00624D90" w:rsidRPr="009A48E7" w:rsidRDefault="00624D90" w:rsidP="009A48E7">
      <w:pPr>
        <w:spacing w:before="100" w:beforeAutospacing="1" w:after="100" w:afterAutospacing="1"/>
        <w:contextualSpacing/>
        <w:jc w:val="both"/>
        <w:rPr>
          <w:rFonts w:ascii="Barlow" w:hAnsi="Barlow"/>
          <w:b/>
          <w:lang w:val="it-IT"/>
        </w:rPr>
      </w:pPr>
    </w:p>
    <w:p w14:paraId="0DDF2FE2" w14:textId="77777777" w:rsidR="009A48E7" w:rsidRPr="00CB677E" w:rsidRDefault="004F1562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color w:val="000000"/>
          <w:sz w:val="28"/>
          <w:szCs w:val="28"/>
          <w:bdr w:val="none" w:sz="0" w:space="0" w:color="auto"/>
          <w:lang w:val="it-IT" w:eastAsia="it-IT"/>
        </w:rPr>
      </w:pP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br/>
      </w:r>
      <w:r w:rsidR="009A48E7" w:rsidRPr="00CB677E">
        <w:rPr>
          <w:rFonts w:ascii="Barlow" w:eastAsia="Times New Roman" w:hAnsi="Barlow"/>
          <w:b/>
          <w:bCs/>
          <w:color w:val="000000"/>
          <w:sz w:val="28"/>
          <w:szCs w:val="28"/>
          <w:bdr w:val="none" w:sz="0" w:space="0" w:color="auto"/>
          <w:lang w:val="it-IT" w:eastAsia="it-IT"/>
        </w:rPr>
        <w:t xml:space="preserve">Da prodotto a sistema: </w:t>
      </w:r>
    </w:p>
    <w:p w14:paraId="18773E65" w14:textId="53A24CC2" w:rsidR="009A48E7" w:rsidRPr="00CB677E" w:rsidRDefault="009A48E7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color w:val="000000"/>
          <w:sz w:val="28"/>
          <w:szCs w:val="28"/>
          <w:bdr w:val="none" w:sz="0" w:space="0" w:color="auto"/>
          <w:lang w:val="it-IT" w:eastAsia="it-IT"/>
        </w:rPr>
      </w:pPr>
      <w:r w:rsidRPr="00CB677E">
        <w:rPr>
          <w:rFonts w:ascii="Barlow" w:eastAsia="Times New Roman" w:hAnsi="Barlow"/>
          <w:b/>
          <w:bCs/>
          <w:color w:val="000000"/>
          <w:sz w:val="28"/>
          <w:szCs w:val="28"/>
          <w:bdr w:val="none" w:sz="0" w:space="0" w:color="auto"/>
          <w:lang w:val="it-IT" w:eastAsia="it-IT"/>
        </w:rPr>
        <w:t xml:space="preserve">le soluzioni digitali Kimo per un </w:t>
      </w:r>
      <w:r w:rsidR="00CB677E" w:rsidRPr="00CB677E">
        <w:rPr>
          <w:rFonts w:ascii="Barlow" w:eastAsia="Times New Roman" w:hAnsi="Barlow"/>
          <w:b/>
          <w:bCs/>
          <w:color w:val="000000"/>
          <w:sz w:val="28"/>
          <w:szCs w:val="28"/>
          <w:bdr w:val="none" w:sz="0" w:space="0" w:color="auto"/>
          <w:lang w:val="it-IT" w:eastAsia="it-IT"/>
        </w:rPr>
        <w:t>sistema di vendita di successo.</w:t>
      </w:r>
    </w:p>
    <w:p w14:paraId="16EF2892" w14:textId="77777777" w:rsidR="009A48E7" w:rsidRDefault="009A48E7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</w:p>
    <w:p w14:paraId="0893D319" w14:textId="77777777" w:rsidR="00CB677E" w:rsidRDefault="00CB677E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L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’era del prodotto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è finita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, comincia l’era del sistema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.</w:t>
      </w:r>
    </w:p>
    <w:p w14:paraId="5A2F3A28" w14:textId="77777777" w:rsidR="00CB677E" w:rsidRDefault="00CB677E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</w:p>
    <w:p w14:paraId="72EE943E" w14:textId="1EEEDBFD" w:rsidR="00CB677E" w:rsidRDefault="00CB677E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Su</w:t>
      </w:r>
      <w:r w:rsid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lla base di questa affermazione, </w:t>
      </w:r>
      <w:r w:rsidRPr="004F1562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Kimo</w:t>
      </w:r>
      <w:r w:rsidR="00801327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 xml:space="preserve"> Srl</w:t>
      </w:r>
      <w:r w:rsid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, in collaborazione con </w:t>
      </w:r>
      <w:r w:rsidR="002B76E3" w:rsidRPr="004F2750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L’Accademia dello Showroom</w:t>
      </w:r>
      <w:r w:rsid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, </w:t>
      </w:r>
      <w:r w:rsidR="001F0E2B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ha sviluppato i contenuti di due convegni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che si terranno </w:t>
      </w:r>
      <w:r w:rsidR="000514B0" w:rsidRPr="00877C2C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mercoledì 25 marzo alle ore 15:00</w:t>
      </w:r>
      <w:r w:rsidR="000514B0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e </w:t>
      </w:r>
      <w:r w:rsidR="000514B0" w:rsidRPr="00877C2C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giovedì 26 marzo alle ore 14:00</w:t>
      </w:r>
      <w:r w:rsidR="000514B0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e </w:t>
      </w:r>
      <w:r w:rsid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presso </w:t>
      </w:r>
      <w:r w:rsidR="001F0E2B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l’area </w:t>
      </w:r>
      <w:r w:rsidR="001F0E2B" w:rsidRPr="002B76E3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Tecnopolis</w:t>
      </w:r>
      <w:r w:rsidR="001F0E2B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all’interno dello stand </w:t>
      </w:r>
      <w:r w:rsidR="001F0E2B" w:rsidRPr="002B76E3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Angaisa</w:t>
      </w:r>
      <w:r w:rsidR="001F0E2B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a Mostra Convegno Expocomfort 2026 (</w:t>
      </w:r>
      <w:r w:rsidR="002B76E3">
        <w:rPr>
          <w:rStyle w:val="Enfasigrassetto"/>
          <w:rFonts w:ascii="Barlow" w:hAnsi="Barlow" w:cs="Poppins"/>
          <w:b w:val="0"/>
          <w:bCs w:val="0"/>
          <w:color w:val="000000"/>
          <w:bdr w:val="none" w:sz="0" w:space="0" w:color="auto" w:frame="1"/>
          <w:shd w:val="clear" w:color="auto" w:fill="FFFFFF"/>
        </w:rPr>
        <w:t>P</w:t>
      </w:r>
      <w:r w:rsidR="002B76E3" w:rsidRPr="002B76E3">
        <w:rPr>
          <w:rStyle w:val="Enfasigrassetto"/>
          <w:rFonts w:ascii="Barlow" w:hAnsi="Barlow" w:cs="Poppins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adiglione 18 </w:t>
      </w:r>
      <w:r w:rsidR="002B76E3">
        <w:rPr>
          <w:rStyle w:val="Enfasigrassetto"/>
          <w:rFonts w:ascii="Barlow" w:hAnsi="Barlow" w:cs="Poppins"/>
          <w:b w:val="0"/>
          <w:bCs w:val="0"/>
          <w:color w:val="000000"/>
          <w:bdr w:val="none" w:sz="0" w:space="0" w:color="auto" w:frame="1"/>
          <w:shd w:val="clear" w:color="auto" w:fill="FFFFFF"/>
        </w:rPr>
        <w:t>- S</w:t>
      </w:r>
      <w:r w:rsidR="002B76E3" w:rsidRPr="002B76E3">
        <w:rPr>
          <w:rStyle w:val="Enfasigrassetto"/>
          <w:rFonts w:ascii="Barlow" w:hAnsi="Barlow" w:cs="Poppins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tand </w:t>
      </w:r>
      <w:r w:rsidR="002B76E3">
        <w:rPr>
          <w:rStyle w:val="Enfasigrassetto"/>
          <w:rFonts w:ascii="Barlow" w:hAnsi="Barlow" w:cs="Poppins"/>
          <w:b w:val="0"/>
          <w:bCs w:val="0"/>
          <w:color w:val="000000"/>
          <w:bdr w:val="none" w:sz="0" w:space="0" w:color="auto" w:frame="1"/>
          <w:shd w:val="clear" w:color="auto" w:fill="FFFFFF"/>
        </w:rPr>
        <w:t>A</w:t>
      </w:r>
      <w:r w:rsidR="002B76E3" w:rsidRPr="002B76E3">
        <w:rPr>
          <w:rStyle w:val="Enfasigrassetto"/>
          <w:rFonts w:ascii="Barlow" w:hAnsi="Barlow" w:cs="Poppins"/>
          <w:b w:val="0"/>
          <w:bCs w:val="0"/>
          <w:color w:val="000000"/>
          <w:bdr w:val="none" w:sz="0" w:space="0" w:color="auto" w:frame="1"/>
          <w:shd w:val="clear" w:color="auto" w:fill="FFFFFF"/>
        </w:rPr>
        <w:t>19-</w:t>
      </w:r>
      <w:r w:rsidR="002B76E3">
        <w:rPr>
          <w:rStyle w:val="Enfasigrassetto"/>
          <w:rFonts w:ascii="Barlow" w:hAnsi="Barlow" w:cs="Poppins"/>
          <w:b w:val="0"/>
          <w:bCs w:val="0"/>
          <w:color w:val="000000"/>
          <w:bdr w:val="none" w:sz="0" w:space="0" w:color="auto" w:frame="1"/>
          <w:shd w:val="clear" w:color="auto" w:fill="FFFFFF"/>
        </w:rPr>
        <w:t>C</w:t>
      </w:r>
      <w:r w:rsidR="002B76E3" w:rsidRPr="002B76E3">
        <w:rPr>
          <w:rStyle w:val="Enfasigrassetto"/>
          <w:rFonts w:ascii="Barlow" w:hAnsi="Barlow" w:cs="Poppins"/>
          <w:b w:val="0"/>
          <w:bCs w:val="0"/>
          <w:color w:val="000000"/>
          <w:bdr w:val="none" w:sz="0" w:space="0" w:color="auto" w:frame="1"/>
          <w:shd w:val="clear" w:color="auto" w:fill="FFFFFF"/>
        </w:rPr>
        <w:t>04</w:t>
      </w:r>
      <w:r w:rsidR="002B76E3" w:rsidRPr="002B76E3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 xml:space="preserve"> </w:t>
      </w:r>
      <w:r w:rsidR="001F0E2B" w:rsidRP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) e che </w:t>
      </w:r>
      <w:r w:rsidRP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porter</w:t>
      </w:r>
      <w:r w:rsidR="001F0E2B" w:rsidRP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anno </w:t>
      </w:r>
      <w:r w:rsidRP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al 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centro del dibattito un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o dei temi più </w:t>
      </w:r>
      <w:r w:rsidR="001F0E2B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sentiti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tra le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aziende di produzione e </w:t>
      </w:r>
      <w:r w:rsidR="00801327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del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la 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distribuzione del comparto </w:t>
      </w:r>
      <w:r w:rsidR="008F02C7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ITS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: il profondo cambiamento della vendita B2B.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</w:t>
      </w:r>
    </w:p>
    <w:p w14:paraId="10561A06" w14:textId="77777777" w:rsidR="00CB677E" w:rsidRDefault="00CB677E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</w:p>
    <w:p w14:paraId="021103A0" w14:textId="1F2D6A2F" w:rsidR="009A48E7" w:rsidRPr="002B76E3" w:rsidRDefault="002B76E3" w:rsidP="001F0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La presenza in qualità di espositore partner </w:t>
      </w:r>
      <w:r w:rsidR="004F2750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di Angaisa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conferma</w:t>
      </w:r>
      <w:r w:rsidRP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il </w:t>
      </w:r>
      <w:r w:rsidR="00CB677E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ruolo </w:t>
      </w:r>
      <w:r w:rsidR="00DA5B81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di </w:t>
      </w:r>
      <w:r w:rsidR="00DA5B81" w:rsidRPr="004F2750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Kimo</w:t>
      </w:r>
      <w:r w:rsidR="00DA5B81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come Azienda </w:t>
      </w:r>
      <w:r w:rsidR="001F0E2B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di riferimento</w:t>
      </w:r>
      <w:r w:rsidR="00CB677E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nell</w:t>
      </w:r>
      <w:r w:rsidR="001F0E2B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o sviluppo di </w:t>
      </w:r>
      <w:r w:rsidR="00CB677E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soluzioni digitali </w:t>
      </w:r>
      <w:r w:rsidR="001F0E2B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dedicate al miglioramento del processo di vendita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che </w:t>
      </w:r>
      <w:r w:rsidR="004F2750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la società marchigiana </w:t>
      </w:r>
      <w:r w:rsidRP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si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è conquistata in oltre 20 anni</w:t>
      </w:r>
      <w:r w:rsidRPr="002B76E3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</w:t>
      </w:r>
      <w:r w:rsidR="004F2750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di specializzazione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nel settore dell</w:t>
      </w:r>
      <w:r w:rsidR="00F6022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e</w:t>
      </w:r>
      <w:r w:rsidR="00801327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costruzion</w:t>
      </w:r>
      <w:r w:rsidR="00F6022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i</w:t>
      </w:r>
      <w:r w:rsidR="00801327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e </w:t>
      </w:r>
      <w:r w:rsidR="00F6022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dell’</w:t>
      </w:r>
      <w:r w:rsidR="00801327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impiantistica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.</w:t>
      </w:r>
    </w:p>
    <w:p w14:paraId="27EA6DE9" w14:textId="77777777" w:rsidR="001F0E2B" w:rsidRPr="004F1562" w:rsidRDefault="001F0E2B" w:rsidP="001F0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</w:p>
    <w:p w14:paraId="5DF22E6B" w14:textId="331BB884" w:rsidR="004F1562" w:rsidRPr="004F1562" w:rsidRDefault="004F2750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“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In un mercato sempre più competitivo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” – afferma </w:t>
      </w:r>
      <w:r w:rsidRPr="004F2750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Gabriele Ottaviani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Fondatore e Amministratore di </w:t>
      </w:r>
      <w:r w:rsidRPr="004F2750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Kimo</w:t>
      </w:r>
      <w:r w:rsidR="00801327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 xml:space="preserve"> Srl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– “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non è più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solo 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il prodotto a determinare il successo commerciale. A fare la differenza è il sistema di vendita</w:t>
      </w:r>
      <w:r w:rsidR="00801327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, ovvero 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l’insieme di metodo, processi e strumenti che permettono ad agenti e clienti di lavorare in modo coordinato, riducendo attriti, errori e dispersione di valore lungo il percorso d’ordine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”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.</w:t>
      </w:r>
    </w:p>
    <w:p w14:paraId="4369440E" w14:textId="77777777" w:rsidR="001F0E2B" w:rsidRDefault="001F0E2B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</w:p>
    <w:p w14:paraId="2EEB9710" w14:textId="57D16156" w:rsidR="004F1562" w:rsidRPr="004F1562" w:rsidRDefault="004F2750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“Ecco perché” – prosegue </w:t>
      </w:r>
      <w:r w:rsidRPr="004F2750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Veronica Verona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fondatrice de L’Accademia dello Showroom e Direttrice Commerciale e Marketing di </w:t>
      </w:r>
      <w:r w:rsidRPr="00F60222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Kimo</w:t>
      </w:r>
      <w:r w:rsidR="00801327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</w:t>
      </w:r>
      <w:r w:rsidR="00801327" w:rsidRPr="00F60222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Srl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– “a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ll’interno del 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calendario eventi Tecnopolis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a 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MCE, </w:t>
      </w:r>
      <w:r w:rsidR="004F1562" w:rsidRPr="004F1562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Kimo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sarà la protagonista di due 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convegni 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dal titolo: </w:t>
      </w:r>
      <w:r w:rsidR="004F1562" w:rsidRPr="004F1562">
        <w:rPr>
          <w:rFonts w:ascii="Barlow" w:eastAsia="Times New Roman" w:hAnsi="Barlow"/>
          <w:i/>
          <w:iCs/>
          <w:color w:val="000000"/>
          <w:bdr w:val="none" w:sz="0" w:space="0" w:color="auto"/>
          <w:lang w:val="it-IT" w:eastAsia="it-IT"/>
        </w:rPr>
        <w:t>Da prodotto a sistema: com’è cambiata la vendita B2B. Nuovi modelli di collaborazione tra agenti e clienti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”.</w:t>
      </w:r>
    </w:p>
    <w:p w14:paraId="21EA7EB4" w14:textId="77777777" w:rsidR="001F0E2B" w:rsidRDefault="001F0E2B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</w:p>
    <w:p w14:paraId="204AB82E" w14:textId="5EF2955E" w:rsidR="004F1562" w:rsidRPr="004F1562" w:rsidRDefault="004F1562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I due convegni</w:t>
      </w:r>
      <w:r w:rsidR="000514B0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, </w:t>
      </w:r>
      <w:r w:rsidR="00BE0CBA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specificatamente 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dedicati a produttori e distributori che vogliono comprendere come sta evolvendo il rapporto tra forza vendita, clienti e canali digitali, offriranno una lettura concreta dei nuovi modelli di collaborazione commerciale, mostrando come l’integrazione tra app </w:t>
      </w:r>
      <w:r w:rsidR="00DA5B81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dedicate alla f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orza vendita e </w:t>
      </w:r>
      <w:r w:rsidR="00DA5B81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il 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portale B2B per il cliente consenta di governare il processo di vendita in modo più efficiente, misurabile e sostenibile.</w:t>
      </w:r>
    </w:p>
    <w:p w14:paraId="53416A6E" w14:textId="77777777" w:rsidR="009A48E7" w:rsidRDefault="009A48E7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</w:p>
    <w:p w14:paraId="6D8882B1" w14:textId="33A3EB51" w:rsidR="004F1562" w:rsidRPr="004F1562" w:rsidRDefault="00BE0CBA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L’obiettivo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dell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a partecipazione di </w:t>
      </w:r>
      <w:r w:rsidR="004F1562" w:rsidRPr="004F1562">
        <w:rPr>
          <w:rFonts w:ascii="Barlow" w:eastAsia="Times New Roman" w:hAnsi="Barlow"/>
          <w:b/>
          <w:bCs/>
          <w:color w:val="000000"/>
          <w:bdr w:val="none" w:sz="0" w:space="0" w:color="auto"/>
          <w:lang w:val="it-IT" w:eastAsia="it-IT"/>
        </w:rPr>
        <w:t>Kimo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a MCE 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è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di 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stimolare una riflessione strategica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per</w:t>
      </w:r>
      <w:r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passare dalla logica del singolo prodotto a quella di un sistema di vendita capace di stimolare la crescita nel tempo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e si 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inserisce in un contesto di forte trasformazione del settore </w:t>
      </w:r>
      <w:r w:rsidR="008F02C7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ITS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 in cui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la 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digitalizzazione e </w:t>
      </w:r>
      <w:r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>l’</w:t>
      </w:r>
      <w:r w:rsidR="004F1562" w:rsidRPr="004F1562"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  <w:t xml:space="preserve">organizzazione commerciale non possono più procedere separatamente. </w:t>
      </w:r>
    </w:p>
    <w:p w14:paraId="290AB32B" w14:textId="77777777" w:rsidR="004F1562" w:rsidRPr="004F1562" w:rsidRDefault="004F1562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color w:val="000000"/>
          <w:bdr w:val="none" w:sz="0" w:space="0" w:color="auto"/>
          <w:lang w:val="it-IT" w:eastAsia="it-IT"/>
        </w:rPr>
      </w:pPr>
    </w:p>
    <w:p w14:paraId="6A7C833B" w14:textId="77777777" w:rsidR="00DA5B81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dr w:val="none" w:sz="0" w:space="0" w:color="auto"/>
          <w:lang w:val="it-IT" w:eastAsia="it-IT"/>
        </w:rPr>
      </w:pPr>
    </w:p>
    <w:p w14:paraId="74502234" w14:textId="77777777" w:rsidR="00DA5B81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dr w:val="none" w:sz="0" w:space="0" w:color="auto"/>
          <w:lang w:val="it-IT" w:eastAsia="it-IT"/>
        </w:rPr>
      </w:pPr>
    </w:p>
    <w:p w14:paraId="621277E6" w14:textId="77777777" w:rsidR="00DA5B81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dr w:val="none" w:sz="0" w:space="0" w:color="auto"/>
          <w:lang w:val="it-IT" w:eastAsia="it-IT"/>
        </w:rPr>
      </w:pPr>
    </w:p>
    <w:p w14:paraId="6D2E2A8B" w14:textId="77777777" w:rsidR="00DA5B81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dr w:val="none" w:sz="0" w:space="0" w:color="auto"/>
          <w:lang w:val="it-IT" w:eastAsia="it-IT"/>
        </w:rPr>
      </w:pPr>
    </w:p>
    <w:p w14:paraId="1B50DAA5" w14:textId="77777777" w:rsidR="00DA5B81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dr w:val="none" w:sz="0" w:space="0" w:color="auto"/>
          <w:lang w:val="it-IT" w:eastAsia="it-IT"/>
        </w:rPr>
      </w:pPr>
    </w:p>
    <w:p w14:paraId="52A09764" w14:textId="77777777" w:rsidR="00DA5B81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dr w:val="none" w:sz="0" w:space="0" w:color="auto"/>
          <w:lang w:val="it-IT" w:eastAsia="it-IT"/>
        </w:rPr>
      </w:pPr>
    </w:p>
    <w:p w14:paraId="303D5C82" w14:textId="77777777" w:rsidR="00DA5B81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dr w:val="none" w:sz="0" w:space="0" w:color="auto"/>
          <w:lang w:val="it-IT" w:eastAsia="it-IT"/>
        </w:rPr>
      </w:pPr>
    </w:p>
    <w:p w14:paraId="1A883DA2" w14:textId="4C106126" w:rsidR="004F1562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bdr w:val="none" w:sz="0" w:space="0" w:color="auto"/>
          <w:lang w:val="it-IT" w:eastAsia="it-IT"/>
        </w:rPr>
      </w:pPr>
      <w:r w:rsidRPr="00DA5B81">
        <w:rPr>
          <w:rFonts w:ascii="Barlow" w:eastAsia="Times New Roman" w:hAnsi="Barlow"/>
          <w:b/>
          <w:bCs/>
          <w:bdr w:val="none" w:sz="0" w:space="0" w:color="auto"/>
          <w:lang w:val="it-IT" w:eastAsia="it-IT"/>
        </w:rPr>
        <w:t>IMMAGINI DISPONIBILI</w:t>
      </w:r>
    </w:p>
    <w:p w14:paraId="3CFB9713" w14:textId="77777777" w:rsidR="00DA5B81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bdr w:val="none" w:sz="0" w:space="0" w:color="auto"/>
          <w:lang w:val="it-IT" w:eastAsia="it-IT"/>
        </w:rPr>
      </w:pPr>
    </w:p>
    <w:p w14:paraId="0D984056" w14:textId="3A993556" w:rsidR="00DA5B81" w:rsidRPr="00DA5B81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bdr w:val="none" w:sz="0" w:space="0" w:color="auto"/>
          <w:lang w:val="it-IT" w:eastAsia="it-IT"/>
        </w:rPr>
      </w:pPr>
      <w:r>
        <w:rPr>
          <w:rFonts w:ascii="Barlow" w:eastAsia="Times New Roman" w:hAnsi="Barlow"/>
          <w:b/>
          <w:bCs/>
          <w:noProof/>
          <w:bdr w:val="none" w:sz="0" w:space="0" w:color="auto"/>
          <w:lang w:val="it-IT" w:eastAsia="it-IT"/>
        </w:rPr>
        <w:drawing>
          <wp:inline distT="0" distB="0" distL="0" distR="0" wp14:anchorId="229FF850" wp14:editId="2A985A99">
            <wp:extent cx="6661785" cy="6661785"/>
            <wp:effectExtent l="0" t="0" r="5715" b="5715"/>
            <wp:docPr id="331216234" name="Immagine 1" descr="Immagine che contiene persona, vestiti, Viso umano, sorris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16234" name="Immagine 1" descr="Immagine che contiene persona, vestiti, Viso umano, sorriso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666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B6B09" w14:textId="77777777" w:rsidR="00DA5B81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</w:pPr>
    </w:p>
    <w:p w14:paraId="74E70C90" w14:textId="148EF876" w:rsidR="00DA5B81" w:rsidRPr="004F1562" w:rsidRDefault="00DA5B81" w:rsidP="00CB6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</w:pPr>
      <w:r w:rsidRPr="00DA5B81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 xml:space="preserve">Da sx: Gabriele Ottaviani (Fondatore e Amministratore di Kimo </w:t>
      </w:r>
      <w:r w:rsidR="008F02C7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>S</w:t>
      </w:r>
      <w:r w:rsidRPr="00DA5B81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>.r.l.) e Veronica Verona (Fondatrice de L’Accademia dello Showroom e Dirett</w:t>
      </w:r>
      <w:r w:rsidR="008F02C7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 xml:space="preserve">ore </w:t>
      </w:r>
      <w:r w:rsidRPr="00DA5B81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 xml:space="preserve">Commerciale e Marketing di Kimo </w:t>
      </w:r>
      <w:r w:rsidR="008F02C7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>S</w:t>
      </w:r>
      <w:r w:rsidRPr="00DA5B81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>.r.l.)</w:t>
      </w:r>
    </w:p>
    <w:p w14:paraId="5B58B0FC" w14:textId="6E18C82B" w:rsidR="00E14122" w:rsidRPr="009A48E7" w:rsidRDefault="00E14122" w:rsidP="00CB677E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lang w:val="it-IT"/>
        </w:rPr>
      </w:pPr>
    </w:p>
    <w:sectPr w:rsidR="00E14122" w:rsidRPr="009A48E7" w:rsidSect="004F1562">
      <w:headerReference w:type="default" r:id="rId8"/>
      <w:footerReference w:type="default" r:id="rId9"/>
      <w:pgSz w:w="11906" w:h="16838"/>
      <w:pgMar w:top="1134" w:right="707" w:bottom="1071" w:left="708" w:header="329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9424" w14:textId="77777777" w:rsidR="00520E2A" w:rsidRDefault="00520E2A">
      <w:r>
        <w:separator/>
      </w:r>
    </w:p>
  </w:endnote>
  <w:endnote w:type="continuationSeparator" w:id="0">
    <w:p w14:paraId="60DA5219" w14:textId="77777777" w:rsidR="00520E2A" w:rsidRDefault="0052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NeueHaasGroteskDisp Std">
    <w:altName w:val="Cambria"/>
    <w:panose1 w:val="020B0604020202020204"/>
    <w:charset w:val="00"/>
    <w:family w:val="roman"/>
    <w:pitch w:val="default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0316" w14:textId="77777777" w:rsidR="009E1899" w:rsidRDefault="00000000">
    <w:pPr>
      <w:pStyle w:val="Intestazioneepidipagina"/>
      <w:tabs>
        <w:tab w:val="clear" w:pos="9020"/>
        <w:tab w:val="center" w:pos="4819"/>
        <w:tab w:val="right" w:pos="9638"/>
      </w:tabs>
    </w:pPr>
    <w:r>
      <w:rPr>
        <w:rFonts w:ascii="Avenir Book" w:eastAsia="Avenir Book" w:hAnsi="Avenir Book" w:cs="Avenir Book"/>
        <w:sz w:val="18"/>
        <w:szCs w:val="18"/>
      </w:rPr>
      <w:tab/>
    </w:r>
    <w:r>
      <w:rPr>
        <w:rFonts w:ascii="Avenir Book" w:hAnsi="Avenir Book"/>
        <w:sz w:val="18"/>
        <w:szCs w:val="18"/>
      </w:rPr>
      <w:t>L’Accademia dello Showroom è un marchio Upstairs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17BE" w14:textId="77777777" w:rsidR="00520E2A" w:rsidRDefault="00520E2A">
      <w:r>
        <w:separator/>
      </w:r>
    </w:p>
  </w:footnote>
  <w:footnote w:type="continuationSeparator" w:id="0">
    <w:p w14:paraId="6137293B" w14:textId="77777777" w:rsidR="00520E2A" w:rsidRDefault="00520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3FDF" w14:textId="51C02B09" w:rsidR="009E1899" w:rsidRDefault="00973E76" w:rsidP="00222EF6">
    <w:pPr>
      <w:pStyle w:val="Intestazioneepidipagina"/>
      <w:tabs>
        <w:tab w:val="clear" w:pos="9020"/>
        <w:tab w:val="center" w:pos="4819"/>
        <w:tab w:val="right" w:pos="9638"/>
      </w:tabs>
      <w:spacing w:after="80"/>
    </w:pPr>
    <w:r>
      <w:rPr>
        <w:rFonts w:ascii="NeueHaasGroteskDisp Std" w:eastAsia="NeueHaasGroteskDisp Std" w:hAnsi="NeueHaasGroteskDisp Std" w:cs="NeueHaasGroteskDisp Std"/>
        <w:noProof/>
        <w:sz w:val="22"/>
        <w:szCs w:val="22"/>
        <w:u w:color="000000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543FE870" wp14:editId="33687FFE">
          <wp:extent cx="1229350" cy="527897"/>
          <wp:effectExtent l="0" t="0" r="3175" b="5715"/>
          <wp:docPr id="2029557350" name="Immagine 1" descr="Immagine che contiene Carattere, logo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557350" name="Immagine 1" descr="Immagine che contiene Carattere, logo, Elementi grafici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465" cy="551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NeueHaasGroteskDisp Std" w:eastAsia="NeueHaasGroteskDisp Std" w:hAnsi="NeueHaasGroteskDisp Std" w:cs="NeueHaasGroteskDisp Std"/>
        <w:sz w:val="22"/>
        <w:szCs w:val="22"/>
        <w:u w:color="000000"/>
      </w:rPr>
      <w:tab/>
    </w:r>
    <w:r>
      <w:rPr>
        <w:rFonts w:ascii="NeueHaasGroteskDisp Std" w:eastAsia="NeueHaasGroteskDisp Std" w:hAnsi="NeueHaasGroteskDisp Std" w:cs="NeueHaasGroteskDisp Std"/>
        <w:sz w:val="22"/>
        <w:szCs w:val="22"/>
        <w:u w:color="000000"/>
      </w:rPr>
      <w:tab/>
    </w:r>
    <w:r>
      <w:rPr>
        <w:rFonts w:eastAsia="Helvetica Neue" w:cs="Helvetica Neue"/>
        <w:noProof/>
        <w:u w:color="000000"/>
      </w:rPr>
      <w:drawing>
        <wp:inline distT="0" distB="0" distL="0" distR="0" wp14:anchorId="5520957F" wp14:editId="66F8CB7B">
          <wp:extent cx="1684866" cy="614469"/>
          <wp:effectExtent l="0" t="0" r="4445" b="0"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2"/>
                  <a:srcRect l="3908" t="29212" r="3908" b="29212"/>
                  <a:stretch>
                    <a:fillRect/>
                  </a:stretch>
                </pic:blipFill>
                <pic:spPr>
                  <a:xfrm>
                    <a:off x="0" y="0"/>
                    <a:ext cx="1711012" cy="6240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8E6"/>
    <w:multiLevelType w:val="multilevel"/>
    <w:tmpl w:val="07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46250"/>
    <w:multiLevelType w:val="multilevel"/>
    <w:tmpl w:val="D9B81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E625A1"/>
    <w:multiLevelType w:val="hybridMultilevel"/>
    <w:tmpl w:val="94004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96056">
    <w:abstractNumId w:val="1"/>
  </w:num>
  <w:num w:numId="2" w16cid:durableId="1238369711">
    <w:abstractNumId w:val="2"/>
  </w:num>
  <w:num w:numId="3" w16cid:durableId="157739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99"/>
    <w:rsid w:val="00022F3B"/>
    <w:rsid w:val="000514B0"/>
    <w:rsid w:val="00097B1A"/>
    <w:rsid w:val="000E2694"/>
    <w:rsid w:val="001E60E3"/>
    <w:rsid w:val="001F0E2B"/>
    <w:rsid w:val="00222EF6"/>
    <w:rsid w:val="00243DE2"/>
    <w:rsid w:val="00256EA7"/>
    <w:rsid w:val="002831F1"/>
    <w:rsid w:val="002B76E3"/>
    <w:rsid w:val="00355963"/>
    <w:rsid w:val="003E3192"/>
    <w:rsid w:val="004F0C0C"/>
    <w:rsid w:val="004F1562"/>
    <w:rsid w:val="004F2750"/>
    <w:rsid w:val="00520E2A"/>
    <w:rsid w:val="005467E2"/>
    <w:rsid w:val="005E1F00"/>
    <w:rsid w:val="00624D90"/>
    <w:rsid w:val="00640DB7"/>
    <w:rsid w:val="006A559E"/>
    <w:rsid w:val="00705CE5"/>
    <w:rsid w:val="00755F2A"/>
    <w:rsid w:val="00801327"/>
    <w:rsid w:val="008560F8"/>
    <w:rsid w:val="00863411"/>
    <w:rsid w:val="00877C2C"/>
    <w:rsid w:val="008B54B0"/>
    <w:rsid w:val="008F02C7"/>
    <w:rsid w:val="00926F9A"/>
    <w:rsid w:val="009460EC"/>
    <w:rsid w:val="00973E76"/>
    <w:rsid w:val="009A48E7"/>
    <w:rsid w:val="009E1899"/>
    <w:rsid w:val="00B259F2"/>
    <w:rsid w:val="00B35B5B"/>
    <w:rsid w:val="00B51943"/>
    <w:rsid w:val="00B54F9B"/>
    <w:rsid w:val="00B80DEB"/>
    <w:rsid w:val="00BE0CBA"/>
    <w:rsid w:val="00C66FE2"/>
    <w:rsid w:val="00C67455"/>
    <w:rsid w:val="00CB677E"/>
    <w:rsid w:val="00D05BC4"/>
    <w:rsid w:val="00DA042B"/>
    <w:rsid w:val="00DA5B81"/>
    <w:rsid w:val="00DC0D2A"/>
    <w:rsid w:val="00E04C6A"/>
    <w:rsid w:val="00E14122"/>
    <w:rsid w:val="00E45B35"/>
    <w:rsid w:val="00E47064"/>
    <w:rsid w:val="00EF7548"/>
    <w:rsid w:val="00F11356"/>
    <w:rsid w:val="00F20096"/>
    <w:rsid w:val="00F60222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13D4B"/>
  <w15:docId w15:val="{78709B7C-6AD7-9647-A39F-3FE2FECC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222E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EF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22E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EF6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05CE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56E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B7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2</cp:revision>
  <dcterms:created xsi:type="dcterms:W3CDTF">2026-02-12T10:20:00Z</dcterms:created>
  <dcterms:modified xsi:type="dcterms:W3CDTF">2026-02-12T10:20:00Z</dcterms:modified>
</cp:coreProperties>
</file>