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C4B9" w14:textId="311D578A" w:rsidR="00745BEF" w:rsidRPr="00745BEF" w:rsidRDefault="00E56EA0" w:rsidP="00745BEF">
      <w:pPr>
        <w:pStyle w:val="Intestazione"/>
        <w:rPr>
          <w:rFonts w:ascii="Arial" w:hAnsi="Arial" w:cs="Arial"/>
          <w:sz w:val="21"/>
          <w:szCs w:val="21"/>
        </w:rPr>
      </w:pPr>
      <w:r w:rsidRPr="004A2C71">
        <w:rPr>
          <w:rFonts w:ascii="Arial" w:hAnsi="Arial" w:cs="Arial"/>
          <w:sz w:val="21"/>
          <w:szCs w:val="21"/>
        </w:rPr>
        <w:t>C</w:t>
      </w:r>
      <w:r w:rsidRPr="003F5B82">
        <w:rPr>
          <w:rFonts w:ascii="Arial" w:hAnsi="Arial" w:cs="Arial"/>
          <w:sz w:val="21"/>
          <w:szCs w:val="21"/>
        </w:rPr>
        <w:t xml:space="preserve">omunicato stampa 2026  </w:t>
      </w:r>
    </w:p>
    <w:p w14:paraId="3B87C4B5" w14:textId="28B0A7D9" w:rsidR="00745BEF" w:rsidRPr="003F5B82" w:rsidRDefault="00745BEF" w:rsidP="00745BEF">
      <w:pPr>
        <w:pStyle w:val="isselectedend"/>
        <w:ind w:left="284" w:right="418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  <w:noProof/>
        </w:rPr>
        <w:drawing>
          <wp:inline distT="0" distB="0" distL="0" distR="0" wp14:anchorId="035B1D24" wp14:editId="525898DF">
            <wp:extent cx="5904555" cy="1203960"/>
            <wp:effectExtent l="0" t="0" r="1270" b="2540"/>
            <wp:docPr id="1415745966" name="Immagine 1" descr="Immagine che contiene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45966" name="Immagine 1" descr="Immagine che contiene design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810" cy="120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aps/>
          <w:noProof/>
        </w:rPr>
        <w:drawing>
          <wp:inline distT="0" distB="0" distL="0" distR="0" wp14:anchorId="1C23FA3D" wp14:editId="4EB69BDD">
            <wp:extent cx="5904230" cy="1177536"/>
            <wp:effectExtent l="0" t="0" r="1270" b="3810"/>
            <wp:docPr id="24297854" name="Immagine 2" descr="Immagine che contiene interno, muro, specchio,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7854" name="Immagine 2" descr="Immagine che contiene interno, muro, specchio, bagn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541" cy="118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B4D97" w14:textId="105D6D7B" w:rsidR="003F5B82" w:rsidRPr="003F5B82" w:rsidRDefault="003F5B82" w:rsidP="003F5B82">
      <w:pPr>
        <w:pStyle w:val="isselectedend"/>
        <w:ind w:left="567" w:right="276"/>
        <w:rPr>
          <w:rFonts w:ascii="Arial" w:hAnsi="Arial" w:cs="Arial"/>
          <w:b/>
          <w:bCs/>
        </w:rPr>
      </w:pPr>
      <w:r w:rsidRPr="003F5B82">
        <w:rPr>
          <w:rFonts w:ascii="Arial" w:hAnsi="Arial" w:cs="Arial"/>
          <w:b/>
          <w:bCs/>
        </w:rPr>
        <w:t>LONGEVITÀ, CONSAPEVOLEZZA E PROGETTO: I NUOVI SCENARI DELL’ABITARE CONTEMPORANEO DAL PUNTO DI VISTA DI PONTE GIULIO</w:t>
      </w:r>
    </w:p>
    <w:p w14:paraId="73DC7F4E" w14:textId="6B3DB90F" w:rsidR="003F5B82" w:rsidRPr="003F5B82" w:rsidRDefault="003F5B82" w:rsidP="003F5B82">
      <w:pPr>
        <w:pStyle w:val="isselectedend"/>
        <w:ind w:left="567" w:right="418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t xml:space="preserve">Non si parla più semplicemente di “vecchiaia”, ma di </w:t>
      </w:r>
      <w:r w:rsidRPr="00BF798A">
        <w:rPr>
          <w:rFonts w:ascii="Arial" w:hAnsi="Arial" w:cs="Arial"/>
          <w:b/>
          <w:bCs/>
          <w:sz w:val="23"/>
          <w:szCs w:val="23"/>
        </w:rPr>
        <w:t xml:space="preserve">longevità, </w:t>
      </w:r>
      <w:r w:rsidRPr="003F5B82">
        <w:rPr>
          <w:rFonts w:ascii="Arial" w:hAnsi="Arial" w:cs="Arial"/>
          <w:sz w:val="23"/>
          <w:szCs w:val="23"/>
        </w:rPr>
        <w:t>silver age e qualità della vita in evoluzione. In una società in cui l’età media cresce e fino a cinque generazioni convivono, il design è chiamato a ridefinire il proprio ruolo, ripensando spazi e prodotti capaci di accompagnare le persone lungo tutto l’arco della vita.</w:t>
      </w:r>
    </w:p>
    <w:p w14:paraId="6D0CD14A" w14:textId="77777777" w:rsidR="003F5B82" w:rsidRPr="003F5B82" w:rsidRDefault="003F5B82" w:rsidP="003F5B82">
      <w:pPr>
        <w:pStyle w:val="isselectedend"/>
        <w:ind w:left="567" w:right="418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t xml:space="preserve">Più che introdurre nuove definizioni, oggi si assiste a una rilettura di concetti già noti come </w:t>
      </w:r>
      <w:r w:rsidRPr="003F5B82">
        <w:rPr>
          <w:rFonts w:ascii="Arial" w:hAnsi="Arial" w:cs="Arial"/>
          <w:i/>
          <w:iCs/>
          <w:sz w:val="23"/>
          <w:szCs w:val="23"/>
        </w:rPr>
        <w:t>Aging in place</w:t>
      </w:r>
      <w:r w:rsidRPr="003F5B82">
        <w:rPr>
          <w:rFonts w:ascii="Arial" w:hAnsi="Arial" w:cs="Arial"/>
          <w:sz w:val="23"/>
          <w:szCs w:val="23"/>
        </w:rPr>
        <w:t xml:space="preserve"> e </w:t>
      </w:r>
      <w:r w:rsidRPr="003F5B82">
        <w:rPr>
          <w:rFonts w:ascii="Arial" w:hAnsi="Arial" w:cs="Arial"/>
          <w:i/>
          <w:iCs/>
          <w:sz w:val="23"/>
          <w:szCs w:val="23"/>
        </w:rPr>
        <w:t>Living in place</w:t>
      </w:r>
      <w:r w:rsidRPr="003F5B82">
        <w:rPr>
          <w:rFonts w:ascii="Arial" w:hAnsi="Arial" w:cs="Arial"/>
          <w:sz w:val="23"/>
          <w:szCs w:val="23"/>
        </w:rPr>
        <w:t>, spesso utilizzati per descrivere la volontà — e in molti casi la necessità — di prolungare la permanenza nella propria casa, adattandola nel tempo alle esigenze che cambiano. Nel contesto italiano, dove la proprietà dell’abitazione rappresenta ancora un valore culturale e sociale forte, questo approccio assume una dimensione concreta: vivere più a lungo negli spazi familiari, preservando autonomia, relazioni e qualità della vita.</w:t>
      </w:r>
    </w:p>
    <w:p w14:paraId="4ED056C0" w14:textId="77777777" w:rsidR="003F5B82" w:rsidRDefault="003F5B82" w:rsidP="003F5B82">
      <w:pPr>
        <w:pStyle w:val="isselectedend"/>
        <w:ind w:left="567" w:right="418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t xml:space="preserve">Accanto a questa tendenza </w:t>
      </w:r>
      <w:r w:rsidRPr="003F5B82">
        <w:rPr>
          <w:rFonts w:ascii="Arial" w:hAnsi="Arial" w:cs="Arial"/>
          <w:b/>
          <w:bCs/>
          <w:sz w:val="23"/>
          <w:szCs w:val="23"/>
        </w:rPr>
        <w:t>emergono però nuove forme dell’abitare condiviso</w:t>
      </w:r>
      <w:r w:rsidRPr="003F5B82">
        <w:rPr>
          <w:rFonts w:ascii="Arial" w:hAnsi="Arial" w:cs="Arial"/>
          <w:sz w:val="23"/>
          <w:szCs w:val="23"/>
        </w:rPr>
        <w:t xml:space="preserve">, generate anche da fragilità economiche, sociali e culturali. Modelli come il co-living e il co-housing rappresentano risposte differenti a bisogni contemporanei. Il co-living nasce spesso come soluzione pragmatica, in cui persone di età e interessi diversi condividono un’abitazione per ragioni economiche e di mutuo supporto. </w:t>
      </w:r>
    </w:p>
    <w:p w14:paraId="1FC5EAC3" w14:textId="794B0A20" w:rsidR="003F5B82" w:rsidRPr="003F5B82" w:rsidRDefault="003F5B82" w:rsidP="003F5B82">
      <w:pPr>
        <w:pStyle w:val="isselectedend"/>
        <w:ind w:left="567" w:right="418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t>Il co-housing, più diffuso nei Paesi del Nord Europa, si configura invece come un modello abitativo strutturato e orientato a una fascia di popolazione mediamente agiata, con appartamenti privati affittati pro-tempore e spazi comuni progettati per favorire socialità e servizi condivisi. Due modalità “altre” dell’abitare che evidenziano come la casa diventi sempre più un ecosistema relazionale, oltre che fisico.</w:t>
      </w:r>
    </w:p>
    <w:p w14:paraId="7C83F1A5" w14:textId="77777777" w:rsidR="003F5B82" w:rsidRDefault="003F5B82" w:rsidP="003F5B82">
      <w:pPr>
        <w:pStyle w:val="isselectedend"/>
        <w:spacing w:before="0" w:beforeAutospacing="0" w:after="0" w:afterAutospacing="0"/>
        <w:ind w:left="567" w:right="420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b/>
          <w:bCs/>
          <w:sz w:val="23"/>
          <w:szCs w:val="23"/>
        </w:rPr>
        <w:t>Un nuovo sguardo sulla longevità</w:t>
      </w:r>
    </w:p>
    <w:p w14:paraId="1C59BBEB" w14:textId="77777777" w:rsidR="003F5B82" w:rsidRDefault="003F5B82" w:rsidP="003F5B82">
      <w:pPr>
        <w:pStyle w:val="isselectedend"/>
        <w:spacing w:before="0" w:beforeAutospacing="0" w:after="0" w:afterAutospacing="0"/>
        <w:ind w:left="567" w:right="420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br/>
        <w:t xml:space="preserve">L’aumento dell’aspettativa di vita rappresenta uno dei risultati più significativi del progresso sociale e medico, ma </w:t>
      </w:r>
      <w:r w:rsidRPr="003F5B82">
        <w:rPr>
          <w:rFonts w:ascii="Arial" w:hAnsi="Arial" w:cs="Arial"/>
          <w:b/>
          <w:bCs/>
          <w:sz w:val="23"/>
          <w:szCs w:val="23"/>
        </w:rPr>
        <w:t>evidenzia anche una criticità diffusa:</w:t>
      </w:r>
      <w:r w:rsidRPr="003F5B82">
        <w:rPr>
          <w:rFonts w:ascii="Arial" w:hAnsi="Arial" w:cs="Arial"/>
          <w:sz w:val="23"/>
          <w:szCs w:val="23"/>
        </w:rPr>
        <w:t xml:space="preserve"> gran parte del patrimonio edilizio esistente non è progettato per rispondere alle necessità di persone con ridotta mobilità o esigenze specifiche legate all’età. </w:t>
      </w:r>
    </w:p>
    <w:p w14:paraId="22B0FF05" w14:textId="77777777" w:rsidR="003F5B82" w:rsidRDefault="003F5B82" w:rsidP="003F5B82">
      <w:pPr>
        <w:pStyle w:val="isselectedend"/>
        <w:spacing w:before="0" w:beforeAutospacing="0" w:after="0" w:afterAutospacing="0"/>
        <w:ind w:left="567" w:right="420"/>
        <w:rPr>
          <w:rFonts w:ascii="Arial" w:hAnsi="Arial" w:cs="Arial"/>
          <w:sz w:val="23"/>
          <w:szCs w:val="23"/>
        </w:rPr>
      </w:pPr>
    </w:p>
    <w:p w14:paraId="06CBFD74" w14:textId="398AF39F" w:rsidR="003F5B82" w:rsidRPr="003F5B82" w:rsidRDefault="003F5B82" w:rsidP="003F5B82">
      <w:pPr>
        <w:pStyle w:val="isselectedend"/>
        <w:spacing w:before="0" w:beforeAutospacing="0" w:after="0" w:afterAutospacing="0"/>
        <w:ind w:left="567" w:right="420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lastRenderedPageBreak/>
        <w:t>L’ambiente domestico — e in particolare il bagno — diventa così uno spazio strategico su cui intervenire per garantire sicurezza e autonomia a persone che affrontano l’invecchiamento con maggiore consapevolezza e con una mentalità diversa rispetto alle generazioni precedenti.</w:t>
      </w:r>
    </w:p>
    <w:p w14:paraId="5627933E" w14:textId="77777777" w:rsidR="003F5B82" w:rsidRDefault="003F5B82" w:rsidP="003F5B82">
      <w:pPr>
        <w:pStyle w:val="isselectedend"/>
        <w:ind w:left="567" w:right="418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t xml:space="preserve">Tra i fattori che maggiormente contribuiscono a una vita domestica soddisfacente emergono </w:t>
      </w:r>
      <w:r w:rsidRPr="003F5B82">
        <w:rPr>
          <w:rFonts w:ascii="Arial" w:hAnsi="Arial" w:cs="Arial"/>
          <w:b/>
          <w:bCs/>
          <w:sz w:val="23"/>
          <w:szCs w:val="23"/>
        </w:rPr>
        <w:t>ordine, sicurezza e privacy</w:t>
      </w:r>
      <w:r w:rsidRPr="003F5B82">
        <w:rPr>
          <w:rFonts w:ascii="Arial" w:hAnsi="Arial" w:cs="Arial"/>
          <w:sz w:val="23"/>
          <w:szCs w:val="23"/>
        </w:rPr>
        <w:t xml:space="preserve">. La casa non è soltanto uno spazio fisico, ma un’estensione della nostra identità, un ambiente dal forte valore emozionale. </w:t>
      </w:r>
    </w:p>
    <w:p w14:paraId="5AC710F9" w14:textId="389F6662" w:rsidR="003F5B82" w:rsidRDefault="003F5B82" w:rsidP="003F5B82">
      <w:pPr>
        <w:pStyle w:val="isselectedend"/>
        <w:spacing w:before="0" w:beforeAutospacing="0" w:after="0" w:afterAutospacing="0"/>
        <w:ind w:left="567" w:right="420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t>Camminare, salire le scale, afferrare oggetti, sollevare pesi, vedere, sentire e percepire sono aspetti che oggi guidano una progettazione sempre più centrata sulla persona, con l’obiettivo di realizzare abitazioni capaci di rispondere ai bisogni reali di ciascuno.</w:t>
      </w:r>
    </w:p>
    <w:p w14:paraId="07E87D61" w14:textId="77777777" w:rsidR="003F5B82" w:rsidRPr="003F5B82" w:rsidRDefault="003F5B82" w:rsidP="003F5B82">
      <w:pPr>
        <w:pStyle w:val="isselectedend"/>
        <w:spacing w:before="0" w:beforeAutospacing="0" w:after="0" w:afterAutospacing="0"/>
        <w:ind w:left="567" w:right="420"/>
        <w:rPr>
          <w:rFonts w:ascii="Arial" w:hAnsi="Arial" w:cs="Arial"/>
          <w:b/>
          <w:bCs/>
          <w:sz w:val="23"/>
          <w:szCs w:val="23"/>
        </w:rPr>
      </w:pPr>
    </w:p>
    <w:p w14:paraId="6EEA1B37" w14:textId="77777777" w:rsidR="003F5B82" w:rsidRDefault="003F5B82" w:rsidP="003F5B82">
      <w:pPr>
        <w:pStyle w:val="isselectedend"/>
        <w:spacing w:before="0" w:beforeAutospacing="0" w:after="0" w:afterAutospacing="0"/>
        <w:ind w:left="567" w:right="4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Adattabilità</w:t>
      </w:r>
      <w:r w:rsidRPr="003F5B82">
        <w:rPr>
          <w:rFonts w:ascii="Arial" w:hAnsi="Arial" w:cs="Arial"/>
          <w:b/>
          <w:bCs/>
          <w:sz w:val="23"/>
          <w:szCs w:val="23"/>
        </w:rPr>
        <w:t xml:space="preserve"> come valore progettuale</w:t>
      </w:r>
    </w:p>
    <w:p w14:paraId="21E30563" w14:textId="7F40AAEC" w:rsidR="003F5B82" w:rsidRPr="003F5B82" w:rsidRDefault="003F5B82" w:rsidP="003F5B82">
      <w:pPr>
        <w:pStyle w:val="isselectedend"/>
        <w:spacing w:before="0" w:beforeAutospacing="0" w:after="0" w:afterAutospacing="0"/>
        <w:ind w:left="567" w:right="420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Poter</w:t>
      </w:r>
      <w:r w:rsidRPr="003F5B82">
        <w:rPr>
          <w:rFonts w:ascii="Arial" w:hAnsi="Arial" w:cs="Arial"/>
          <w:sz w:val="23"/>
          <w:szCs w:val="23"/>
        </w:rPr>
        <w:t xml:space="preserve"> continuare a vivere nella propria casa il più a lungo possibile, mantenendo abitudini e relazioni sociali</w:t>
      </w:r>
      <w:r>
        <w:rPr>
          <w:rFonts w:ascii="Arial" w:hAnsi="Arial" w:cs="Arial"/>
          <w:sz w:val="23"/>
          <w:szCs w:val="23"/>
        </w:rPr>
        <w:t>; u</w:t>
      </w:r>
      <w:r w:rsidRPr="003F5B82">
        <w:rPr>
          <w:rFonts w:ascii="Arial" w:hAnsi="Arial" w:cs="Arial"/>
          <w:sz w:val="23"/>
          <w:szCs w:val="23"/>
        </w:rPr>
        <w:t>n approccio che richiede soluzioni flessibili e una progettazione orientata ai principi di accessibilità, visitabilità e adattabilità, già introdotti dalla legge 13/89 per il superamento delle barriere architettoniche negli edifici privati.</w:t>
      </w:r>
    </w:p>
    <w:p w14:paraId="7F3E665C" w14:textId="0FA09D1C" w:rsidR="003F5B82" w:rsidRPr="003F5B82" w:rsidRDefault="003F5B82" w:rsidP="00BF798A">
      <w:pPr>
        <w:pStyle w:val="isselectedend"/>
        <w:ind w:left="567" w:right="418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t>Se l’accessibilità totale è spesso difficile da raggiungere negli edifici esistenti, visitabilità e adattabilità rappresentano obiettivi concreti. Nei casi più semplici può bastare una maniglia; in quelli più complessi il bagno va riconfigurato. È una questione di progetto, di superfici e di disposizione degli elementi.</w:t>
      </w:r>
      <w:r w:rsidR="00BF798A">
        <w:rPr>
          <w:rFonts w:ascii="Arial" w:hAnsi="Arial" w:cs="Arial"/>
          <w:sz w:val="23"/>
          <w:szCs w:val="23"/>
        </w:rPr>
        <w:t xml:space="preserve"> </w:t>
      </w:r>
      <w:r w:rsidRPr="003F5B82">
        <w:rPr>
          <w:rFonts w:ascii="Arial" w:hAnsi="Arial" w:cs="Arial"/>
          <w:sz w:val="23"/>
          <w:szCs w:val="23"/>
        </w:rPr>
        <w:t xml:space="preserve">Il design contemporaneo è quindi chiamato ad anticipare le esigenze future, integrando soluzioni sicure e funzionali senza rinunciare alla qualità estetica. Sistemi come Solo </w:t>
      </w:r>
      <w:proofErr w:type="spellStart"/>
      <w:r w:rsidRPr="003F5B82">
        <w:rPr>
          <w:rFonts w:ascii="Arial" w:hAnsi="Arial" w:cs="Arial"/>
          <w:sz w:val="23"/>
          <w:szCs w:val="23"/>
        </w:rPr>
        <w:t>Shower</w:t>
      </w:r>
      <w:proofErr w:type="spellEnd"/>
      <w:r w:rsidRPr="003F5B82">
        <w:rPr>
          <w:rFonts w:ascii="Arial" w:hAnsi="Arial" w:cs="Arial"/>
          <w:sz w:val="23"/>
          <w:szCs w:val="23"/>
        </w:rPr>
        <w:t>, progettati secondo linee guida internazionali orientate all’equilibrio tra sicurezza e design, testimoniano questo cambio di paradigma. Ponte Giulio interpreta questa visione con soluzioni che uniscono bellezza e funzionalità, promuovendo un design universale capace di migliorare l’esperienza quotidiana e contribuire alla creazione di ambienti più inclusivi, sostenibili e umani.</w:t>
      </w:r>
    </w:p>
    <w:p w14:paraId="2454F644" w14:textId="77777777" w:rsidR="003F5B82" w:rsidRDefault="00E9199A" w:rsidP="003F5B82">
      <w:pPr>
        <w:ind w:left="567" w:right="418"/>
        <w:outlineLvl w:val="2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 w:rsidRPr="00E9199A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Soluzioni Ponte Giulio tra estetica e tecnologia</w:t>
      </w:r>
    </w:p>
    <w:p w14:paraId="58F662FF" w14:textId="77777777" w:rsidR="003F5B82" w:rsidRDefault="003F5B82" w:rsidP="003F5B82">
      <w:pPr>
        <w:ind w:left="567" w:right="418"/>
        <w:outlineLvl w:val="2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</w:p>
    <w:p w14:paraId="56EC39C4" w14:textId="77777777" w:rsidR="00BF798A" w:rsidRDefault="00B5346A" w:rsidP="00BF798A">
      <w:pPr>
        <w:ind w:left="567" w:right="418"/>
        <w:outlineLvl w:val="2"/>
        <w:rPr>
          <w:rFonts w:ascii="Arial" w:hAnsi="Arial" w:cs="Arial"/>
          <w:sz w:val="23"/>
          <w:szCs w:val="23"/>
        </w:rPr>
      </w:pPr>
      <w:r w:rsidRPr="003F5B82">
        <w:rPr>
          <w:rFonts w:ascii="Arial" w:hAnsi="Arial" w:cs="Arial"/>
          <w:sz w:val="23"/>
          <w:szCs w:val="23"/>
        </w:rPr>
        <w:t xml:space="preserve">Ponte Giulio presenta soluzioni per ambienti domestici e </w:t>
      </w:r>
      <w:r w:rsidR="003F5B82">
        <w:rPr>
          <w:rFonts w:ascii="Arial" w:hAnsi="Arial" w:cs="Arial"/>
          <w:sz w:val="23"/>
          <w:szCs w:val="23"/>
        </w:rPr>
        <w:t>pubblici</w:t>
      </w:r>
      <w:r w:rsidRPr="003F5B82">
        <w:rPr>
          <w:rFonts w:ascii="Arial" w:hAnsi="Arial" w:cs="Arial"/>
          <w:sz w:val="23"/>
          <w:szCs w:val="23"/>
        </w:rPr>
        <w:t xml:space="preserve"> che coniugano design e contenuti tecnici avanzati, tra cui </w:t>
      </w:r>
      <w:r w:rsidRPr="003F5B82">
        <w:rPr>
          <w:rFonts w:ascii="Arial" w:hAnsi="Arial" w:cs="Arial"/>
          <w:b/>
          <w:bCs/>
          <w:sz w:val="23"/>
          <w:szCs w:val="23"/>
        </w:rPr>
        <w:t>capacità di carico certificata, protezione antibatterica e piena conformità alle normative di qualità e sicurezza</w:t>
      </w:r>
      <w:r w:rsidRPr="003F5B82">
        <w:rPr>
          <w:rFonts w:ascii="Arial" w:hAnsi="Arial" w:cs="Arial"/>
          <w:sz w:val="23"/>
          <w:szCs w:val="23"/>
        </w:rPr>
        <w:t xml:space="preserve">. La tecnologia </w:t>
      </w:r>
      <w:proofErr w:type="spellStart"/>
      <w:r w:rsidRPr="003F5B82">
        <w:rPr>
          <w:rFonts w:ascii="Arial" w:hAnsi="Arial" w:cs="Arial"/>
          <w:sz w:val="23"/>
          <w:szCs w:val="23"/>
        </w:rPr>
        <w:t>BioCote</w:t>
      </w:r>
      <w:proofErr w:type="spellEnd"/>
      <w:r w:rsidRPr="003F5B82">
        <w:rPr>
          <w:rFonts w:ascii="Arial" w:hAnsi="Arial" w:cs="Arial"/>
          <w:sz w:val="23"/>
          <w:szCs w:val="23"/>
        </w:rPr>
        <w:t>®, con proprietà antimicrobiche basate sull’argento, contribuisce a migliorare l’igiene degli ambienti.</w:t>
      </w:r>
    </w:p>
    <w:p w14:paraId="3959602B" w14:textId="028F84F4" w:rsidR="00D1361F" w:rsidRPr="00BF798A" w:rsidRDefault="00B5346A" w:rsidP="00BF798A">
      <w:pPr>
        <w:ind w:left="567" w:right="418"/>
        <w:outlineLvl w:val="2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 w:rsidRPr="003F5B82">
        <w:rPr>
          <w:rFonts w:ascii="Arial" w:hAnsi="Arial" w:cs="Arial"/>
          <w:sz w:val="23"/>
          <w:szCs w:val="23"/>
        </w:rPr>
        <w:t xml:space="preserve">Tra le proposte spiccano maniglie, sedute e mensole della collezione </w:t>
      </w:r>
      <w:r w:rsidRPr="003F5B82">
        <w:rPr>
          <w:rFonts w:ascii="Arial" w:hAnsi="Arial" w:cs="Arial"/>
          <w:b/>
          <w:bCs/>
          <w:sz w:val="23"/>
          <w:szCs w:val="23"/>
        </w:rPr>
        <w:t>HUG</w:t>
      </w:r>
      <w:r w:rsidRPr="003F5B82">
        <w:rPr>
          <w:rFonts w:ascii="Arial" w:hAnsi="Arial" w:cs="Arial"/>
          <w:sz w:val="23"/>
          <w:szCs w:val="23"/>
        </w:rPr>
        <w:t>, un progetto d’arredo bagno sviluppato dall’incontro tra forma, ergonomia e colore. Protagonista del sistema è la maniglia di sicurezza in acciaio ino</w:t>
      </w:r>
      <w:r w:rsidR="001C7277" w:rsidRPr="003F5B82">
        <w:rPr>
          <w:rFonts w:ascii="Arial" w:hAnsi="Arial" w:cs="Arial"/>
          <w:sz w:val="23"/>
          <w:szCs w:val="23"/>
        </w:rPr>
        <w:t>ssidabile</w:t>
      </w:r>
      <w:r w:rsidRPr="003F5B82">
        <w:rPr>
          <w:rFonts w:ascii="Arial" w:hAnsi="Arial" w:cs="Arial"/>
          <w:sz w:val="23"/>
          <w:szCs w:val="23"/>
        </w:rPr>
        <w:t xml:space="preserve">: elemento funzionale e al tempo stesso segno distintivo di design, disponibile in diverse finiture cromatiche, </w:t>
      </w:r>
      <w:r w:rsidRPr="003F5B82">
        <w:rPr>
          <w:rFonts w:ascii="Arial" w:hAnsi="Arial" w:cs="Arial"/>
          <w:color w:val="000000" w:themeColor="text1"/>
          <w:sz w:val="23"/>
          <w:szCs w:val="23"/>
        </w:rPr>
        <w:t>dal lime al rame, pensato per dialogare con un pubblico ampio e trasversale.</w:t>
      </w:r>
      <w:r w:rsidR="00E56EA0" w:rsidRPr="003F5B8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2A5FF488" w14:textId="77777777" w:rsidR="00745BEF" w:rsidRDefault="00745BEF" w:rsidP="00D1361F">
      <w:pPr>
        <w:pStyle w:val="isselectedend"/>
        <w:spacing w:before="0" w:beforeAutospacing="0" w:after="0" w:afterAutospacing="0"/>
        <w:ind w:left="567" w:right="418"/>
        <w:rPr>
          <w:rFonts w:ascii="Arial" w:hAnsi="Arial" w:cs="Arial"/>
          <w:color w:val="000000" w:themeColor="text1"/>
          <w:sz w:val="23"/>
          <w:szCs w:val="23"/>
        </w:rPr>
      </w:pPr>
    </w:p>
    <w:p w14:paraId="0982B24F" w14:textId="77777777" w:rsidR="00745BEF" w:rsidRDefault="00B5346A" w:rsidP="00D1361F">
      <w:pPr>
        <w:pStyle w:val="isselectedend"/>
        <w:spacing w:before="0" w:beforeAutospacing="0" w:after="0" w:afterAutospacing="0"/>
        <w:ind w:left="567" w:right="418"/>
        <w:rPr>
          <w:rFonts w:ascii="Arial" w:hAnsi="Arial" w:cs="Arial"/>
          <w:color w:val="000000" w:themeColor="text1"/>
          <w:sz w:val="23"/>
          <w:szCs w:val="23"/>
        </w:rPr>
      </w:pPr>
      <w:r w:rsidRPr="003F5B82">
        <w:rPr>
          <w:rFonts w:ascii="Arial" w:hAnsi="Arial" w:cs="Arial"/>
          <w:color w:val="000000" w:themeColor="text1"/>
          <w:sz w:val="23"/>
          <w:szCs w:val="23"/>
        </w:rPr>
        <w:t>HUG è concepito come un sistema integrato che rende più semplice e sicuro il “fare” e il “muoversi” nello spazio bagno. La maniglia di sicurezza garantisce una portata</w:t>
      </w:r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 fino a 150 kg, a seconda delle dimensioni. Gli armadietti diventano veri e propri elementi di sicurezza grazie alle guide di supporto integrate. </w:t>
      </w:r>
    </w:p>
    <w:p w14:paraId="6B385D76" w14:textId="3E34C552" w:rsidR="00B5346A" w:rsidRPr="00D1361F" w:rsidRDefault="00B5346A" w:rsidP="00D1361F">
      <w:pPr>
        <w:pStyle w:val="isselectedend"/>
        <w:spacing w:before="0" w:beforeAutospacing="0" w:after="0" w:afterAutospacing="0"/>
        <w:ind w:left="567" w:right="418"/>
        <w:rPr>
          <w:rFonts w:ascii="Arial" w:hAnsi="Arial" w:cs="Arial"/>
          <w:color w:val="000000" w:themeColor="text1"/>
          <w:sz w:val="23"/>
          <w:szCs w:val="23"/>
        </w:rPr>
      </w:pPr>
      <w:r w:rsidRPr="00E56EA0">
        <w:rPr>
          <w:rFonts w:ascii="Arial" w:hAnsi="Arial" w:cs="Arial"/>
          <w:color w:val="000000" w:themeColor="text1"/>
          <w:sz w:val="23"/>
          <w:szCs w:val="23"/>
        </w:rPr>
        <w:lastRenderedPageBreak/>
        <w:t>I braccioli pieghevoli resistono anche a trazioni laterali fino a 100 kg e i sedili e gli sgabelli per doccia, oltre a sostenere fino a 150 kg di peso, sono dotati di piedini in gomma regolabili per una migliore aderenza al pavimento.</w:t>
      </w:r>
    </w:p>
    <w:p w14:paraId="04229559" w14:textId="31289824" w:rsidR="001C7277" w:rsidRDefault="00B5346A" w:rsidP="00BF798A">
      <w:pPr>
        <w:pStyle w:val="NormaleWeb"/>
        <w:ind w:left="567" w:right="418"/>
        <w:rPr>
          <w:rFonts w:ascii="Arial" w:hAnsi="Arial" w:cs="Arial"/>
          <w:color w:val="000000" w:themeColor="text1"/>
          <w:sz w:val="23"/>
          <w:szCs w:val="23"/>
        </w:rPr>
      </w:pPr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La linea </w:t>
      </w:r>
      <w:r w:rsidRPr="00E56EA0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SOLO </w:t>
      </w:r>
      <w:proofErr w:type="spellStart"/>
      <w:r w:rsidRPr="00E56EA0">
        <w:rPr>
          <w:rFonts w:ascii="Arial" w:hAnsi="Arial" w:cs="Arial"/>
          <w:b/>
          <w:bCs/>
          <w:color w:val="000000" w:themeColor="text1"/>
          <w:sz w:val="23"/>
          <w:szCs w:val="23"/>
        </w:rPr>
        <w:t>Shower</w:t>
      </w:r>
      <w:proofErr w:type="spellEnd"/>
      <w:r w:rsidR="002F1179">
        <w:rPr>
          <w:rFonts w:ascii="Arial" w:hAnsi="Arial" w:cs="Arial"/>
          <w:b/>
          <w:bCs/>
          <w:color w:val="000000" w:themeColor="text1"/>
          <w:sz w:val="23"/>
          <w:szCs w:val="23"/>
        </w:rPr>
        <w:t>,</w:t>
      </w:r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 Menzione d'Onore XXVIII Compasso d'Oro </w:t>
      </w:r>
      <w:proofErr w:type="gramStart"/>
      <w:r w:rsidRPr="00E56EA0">
        <w:rPr>
          <w:rFonts w:ascii="Arial" w:hAnsi="Arial" w:cs="Arial"/>
          <w:color w:val="000000" w:themeColor="text1"/>
          <w:sz w:val="23"/>
          <w:szCs w:val="23"/>
        </w:rPr>
        <w:t>ADI</w:t>
      </w:r>
      <w:r w:rsidR="002F1179">
        <w:rPr>
          <w:rFonts w:ascii="Arial" w:hAnsi="Arial" w:cs="Arial"/>
          <w:color w:val="000000" w:themeColor="text1"/>
          <w:sz w:val="23"/>
          <w:szCs w:val="23"/>
        </w:rPr>
        <w:t xml:space="preserve"> ,</w:t>
      </w:r>
      <w:proofErr w:type="gramEnd"/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 è un sistema di elementi </w:t>
      </w:r>
      <w:proofErr w:type="gramStart"/>
      <w:r w:rsidRPr="00E56EA0">
        <w:rPr>
          <w:rFonts w:ascii="Arial" w:hAnsi="Arial" w:cs="Arial"/>
          <w:color w:val="000000" w:themeColor="text1"/>
          <w:sz w:val="23"/>
          <w:szCs w:val="23"/>
        </w:rPr>
        <w:t>coordinati</w:t>
      </w:r>
      <w:r w:rsidR="002F117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 -</w:t>
      </w:r>
      <w:proofErr w:type="gramEnd"/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E56EA0">
        <w:rPr>
          <w:rFonts w:ascii="Arial" w:hAnsi="Arial" w:cs="Arial"/>
          <w:b/>
          <w:bCs/>
          <w:color w:val="000000" w:themeColor="text1"/>
          <w:sz w:val="23"/>
          <w:szCs w:val="23"/>
        </w:rPr>
        <w:t>set doccia, colonne doccia, maniglie ed accessori</w:t>
      </w:r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 - concepito per configurare una zona doccia con il fine di renderla </w:t>
      </w:r>
      <w:proofErr w:type="spellStart"/>
      <w:proofErr w:type="gramStart"/>
      <w:r w:rsidRPr="00E56EA0">
        <w:rPr>
          <w:rFonts w:ascii="Arial" w:hAnsi="Arial" w:cs="Arial"/>
          <w:color w:val="000000" w:themeColor="text1"/>
          <w:sz w:val="23"/>
          <w:szCs w:val="23"/>
        </w:rPr>
        <w:t>sicura,per</w:t>
      </w:r>
      <w:proofErr w:type="spellEnd"/>
      <w:proofErr w:type="gramEnd"/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 scongiurare pericoli di cadute causate da improvvisi scivolamenti; un piccolo contributo per imparare a prendersi cura di sé.</w:t>
      </w:r>
      <w:r w:rsidR="00E56EA0" w:rsidRPr="00E56EA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7CA46B5A" w14:textId="5B9BF4E2" w:rsidR="00B5346A" w:rsidRPr="00E56EA0" w:rsidRDefault="00B5346A" w:rsidP="00D1361F">
      <w:pPr>
        <w:pStyle w:val="NormaleWeb"/>
        <w:ind w:left="567" w:right="418"/>
        <w:rPr>
          <w:rFonts w:ascii="Arial" w:hAnsi="Arial" w:cs="Arial"/>
          <w:color w:val="000000" w:themeColor="text1"/>
          <w:sz w:val="23"/>
          <w:szCs w:val="23"/>
        </w:rPr>
      </w:pPr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I set doccia e </w:t>
      </w:r>
      <w:proofErr w:type="gramStart"/>
      <w:r w:rsidRPr="00E56EA0">
        <w:rPr>
          <w:rFonts w:ascii="Arial" w:hAnsi="Arial" w:cs="Arial"/>
          <w:color w:val="000000" w:themeColor="text1"/>
          <w:sz w:val="23"/>
          <w:szCs w:val="23"/>
        </w:rPr>
        <w:t>le colonna</w:t>
      </w:r>
      <w:proofErr w:type="gramEnd"/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 doccia </w:t>
      </w:r>
      <w:r w:rsidR="002F1179">
        <w:rPr>
          <w:rFonts w:ascii="Arial" w:hAnsi="Arial" w:cs="Arial"/>
          <w:b/>
          <w:bCs/>
          <w:color w:val="000000" w:themeColor="text1"/>
          <w:sz w:val="23"/>
          <w:szCs w:val="23"/>
        </w:rPr>
        <w:t>in acciaio inossidabile</w:t>
      </w:r>
      <w:r w:rsidR="002F117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sono provvisti del sistema DWI - Dual Water </w:t>
      </w:r>
      <w:proofErr w:type="spellStart"/>
      <w:r w:rsidRPr="00E56EA0">
        <w:rPr>
          <w:rFonts w:ascii="Arial" w:hAnsi="Arial" w:cs="Arial"/>
          <w:color w:val="000000" w:themeColor="text1"/>
          <w:sz w:val="23"/>
          <w:szCs w:val="23"/>
        </w:rPr>
        <w:t>Inlet</w:t>
      </w:r>
      <w:proofErr w:type="spellEnd"/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 - soluzione unica nel suo genere, che </w:t>
      </w:r>
      <w:r w:rsidRPr="001C7277">
        <w:rPr>
          <w:rFonts w:ascii="Arial" w:hAnsi="Arial" w:cs="Arial"/>
          <w:b/>
          <w:bCs/>
          <w:color w:val="000000" w:themeColor="text1"/>
          <w:sz w:val="23"/>
          <w:szCs w:val="23"/>
        </w:rPr>
        <w:t>permette di allacciare, tramite una delle due flange della maniglia l’uscita acqua già prevista nel bagno o da predisporre in caso di nuova installazione</w:t>
      </w:r>
      <w:r w:rsidRPr="00E56EA0">
        <w:rPr>
          <w:rFonts w:ascii="Arial" w:hAnsi="Arial" w:cs="Arial"/>
          <w:color w:val="000000" w:themeColor="text1"/>
          <w:sz w:val="23"/>
          <w:szCs w:val="23"/>
        </w:rPr>
        <w:t>.</w:t>
      </w:r>
      <w:r w:rsidR="002F117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Grazie ad uno speciale raccordo a baionetta basculante, è possibile installare SOLO </w:t>
      </w:r>
      <w:proofErr w:type="spellStart"/>
      <w:r w:rsidRPr="00E56EA0">
        <w:rPr>
          <w:rFonts w:ascii="Arial" w:hAnsi="Arial" w:cs="Arial"/>
          <w:color w:val="000000" w:themeColor="text1"/>
          <w:sz w:val="23"/>
          <w:szCs w:val="23"/>
        </w:rPr>
        <w:t>Shower</w:t>
      </w:r>
      <w:proofErr w:type="spellEnd"/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 anche dove era già presente un braccio doccia o una doccetta a mano senza dover ricorrere ad interventi di muratura o idraulica per un intervento semplice e non invasivo.</w:t>
      </w:r>
    </w:p>
    <w:p w14:paraId="4091025E" w14:textId="77777777" w:rsidR="00B5346A" w:rsidRPr="00E56EA0" w:rsidRDefault="0065572F" w:rsidP="00D1361F">
      <w:pPr>
        <w:pStyle w:val="isselectedend"/>
        <w:spacing w:before="0" w:beforeAutospacing="0" w:after="0" w:afterAutospacing="0"/>
        <w:ind w:left="567" w:right="418"/>
        <w:rPr>
          <w:rFonts w:ascii="Arial" w:hAnsi="Arial" w:cs="Arial"/>
          <w:sz w:val="23"/>
          <w:szCs w:val="23"/>
        </w:rPr>
      </w:pPr>
      <w:r w:rsidRPr="00E56EA0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OMNIA </w:t>
      </w:r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è un sistema bagno accessibile composto da </w:t>
      </w:r>
      <w:r w:rsidRPr="00E56EA0">
        <w:rPr>
          <w:rFonts w:ascii="Arial" w:hAnsi="Arial" w:cs="Arial"/>
          <w:b/>
          <w:bCs/>
          <w:color w:val="000000" w:themeColor="text1"/>
          <w:sz w:val="23"/>
          <w:szCs w:val="23"/>
        </w:rPr>
        <w:t>maniglie accessoriate, sedute doccia, mobili contenitori, lavabi, sanitari e specchi con funzioni integrate di richiesta di aiuto e igienizzazione dell’aria</w:t>
      </w:r>
      <w:r w:rsidRPr="00E56EA0">
        <w:rPr>
          <w:rFonts w:ascii="Arial" w:hAnsi="Arial" w:cs="Arial"/>
          <w:color w:val="000000" w:themeColor="text1"/>
          <w:sz w:val="23"/>
          <w:szCs w:val="23"/>
        </w:rPr>
        <w:t xml:space="preserve">. Le maniglie ergonomiche modulari </w:t>
      </w:r>
      <w:r w:rsidRPr="00E56EA0">
        <w:rPr>
          <w:rFonts w:ascii="Arial" w:hAnsi="Arial" w:cs="Arial"/>
          <w:sz w:val="23"/>
          <w:szCs w:val="23"/>
        </w:rPr>
        <w:t xml:space="preserve">— cuore del progetto — mantengono una tenuta certificata fino a 150 kg e permettono l’integrazione di diversi accessori senza rinunciare alla funzione primaria di sostegno. La collezione si completa con sedute a ribalta, lavabi in ceramica e </w:t>
      </w:r>
      <w:proofErr w:type="spellStart"/>
      <w:r w:rsidRPr="00E56EA0">
        <w:rPr>
          <w:rFonts w:ascii="Arial" w:hAnsi="Arial" w:cs="Arial"/>
          <w:sz w:val="23"/>
          <w:szCs w:val="23"/>
        </w:rPr>
        <w:t>Corian</w:t>
      </w:r>
      <w:proofErr w:type="spellEnd"/>
      <w:r w:rsidRPr="00E56EA0">
        <w:rPr>
          <w:rFonts w:ascii="Arial" w:hAnsi="Arial" w:cs="Arial"/>
          <w:sz w:val="23"/>
          <w:szCs w:val="23"/>
        </w:rPr>
        <w:t>, strutture con maniglia di avvicinamento</w:t>
      </w:r>
      <w:r w:rsidR="00B5346A" w:rsidRPr="00E56EA0">
        <w:rPr>
          <w:rFonts w:ascii="Arial" w:hAnsi="Arial" w:cs="Arial"/>
          <w:sz w:val="23"/>
          <w:szCs w:val="23"/>
        </w:rPr>
        <w:t>.</w:t>
      </w:r>
    </w:p>
    <w:p w14:paraId="2EBF23A1" w14:textId="77777777" w:rsidR="00B5346A" w:rsidRPr="00E56EA0" w:rsidRDefault="00B5346A" w:rsidP="00D1361F">
      <w:pPr>
        <w:pStyle w:val="isselectedend"/>
        <w:spacing w:before="0" w:beforeAutospacing="0" w:after="0" w:afterAutospacing="0"/>
        <w:ind w:left="567" w:right="418"/>
        <w:rPr>
          <w:rStyle w:val="Enfasigrassetto"/>
          <w:rFonts w:ascii="Arial" w:hAnsi="Arial" w:cs="Arial"/>
          <w:sz w:val="23"/>
          <w:szCs w:val="23"/>
        </w:rPr>
      </w:pPr>
    </w:p>
    <w:p w14:paraId="2CDE6F79" w14:textId="30989498" w:rsidR="0065572F" w:rsidRDefault="00B5346A" w:rsidP="00D1361F">
      <w:pPr>
        <w:pStyle w:val="isselectedend"/>
        <w:spacing w:before="0" w:beforeAutospacing="0" w:after="0" w:afterAutospacing="0"/>
        <w:ind w:left="567" w:right="418"/>
        <w:rPr>
          <w:rFonts w:ascii="Arial" w:hAnsi="Arial" w:cs="Arial"/>
          <w:sz w:val="23"/>
          <w:szCs w:val="23"/>
        </w:rPr>
      </w:pPr>
      <w:r w:rsidRPr="00E56EA0">
        <w:rPr>
          <w:rStyle w:val="Enfasigrassetto"/>
          <w:rFonts w:ascii="Arial" w:hAnsi="Arial" w:cs="Arial"/>
          <w:sz w:val="23"/>
          <w:szCs w:val="23"/>
        </w:rPr>
        <w:t>FAMILY</w:t>
      </w:r>
      <w:r w:rsidRPr="00E56EA0">
        <w:rPr>
          <w:rFonts w:ascii="Arial" w:hAnsi="Arial" w:cs="Arial"/>
          <w:sz w:val="23"/>
          <w:szCs w:val="23"/>
        </w:rPr>
        <w:t xml:space="preserve"> include </w:t>
      </w:r>
      <w:r w:rsidRPr="00E56EA0">
        <w:rPr>
          <w:rStyle w:val="Enfasigrassetto"/>
          <w:rFonts w:ascii="Arial" w:hAnsi="Arial" w:cs="Arial"/>
          <w:sz w:val="23"/>
          <w:szCs w:val="23"/>
        </w:rPr>
        <w:t>maniglioni bagno che possono essere completati con una serie di accessori</w:t>
      </w:r>
      <w:r w:rsidRPr="00E56EA0">
        <w:rPr>
          <w:rFonts w:ascii="Arial" w:hAnsi="Arial" w:cs="Arial"/>
          <w:sz w:val="23"/>
          <w:szCs w:val="23"/>
        </w:rPr>
        <w:t xml:space="preserve">, come ganci portateli, portarotoli, contenitori di appoggio, </w:t>
      </w:r>
      <w:r w:rsidRPr="001C7277">
        <w:rPr>
          <w:rFonts w:ascii="Arial" w:hAnsi="Arial" w:cs="Arial"/>
          <w:b/>
          <w:bCs/>
          <w:sz w:val="23"/>
          <w:szCs w:val="23"/>
        </w:rPr>
        <w:t>mensole con bracci portateli ed elementi reggi stampelle</w:t>
      </w:r>
      <w:r w:rsidRPr="00E56EA0">
        <w:rPr>
          <w:rFonts w:ascii="Arial" w:hAnsi="Arial" w:cs="Arial"/>
          <w:sz w:val="23"/>
          <w:szCs w:val="23"/>
        </w:rPr>
        <w:t xml:space="preserve">.  I maniglioni sono in </w:t>
      </w:r>
      <w:r w:rsidRPr="00E56EA0">
        <w:rPr>
          <w:rStyle w:val="Enfasigrassetto"/>
          <w:rFonts w:ascii="Arial" w:hAnsi="Arial" w:cs="Arial"/>
          <w:sz w:val="23"/>
          <w:szCs w:val="23"/>
        </w:rPr>
        <w:t>acciaio inossidabile</w:t>
      </w:r>
      <w:r w:rsidRPr="00E56EA0">
        <w:rPr>
          <w:rFonts w:ascii="Arial" w:hAnsi="Arial" w:cs="Arial"/>
          <w:sz w:val="23"/>
          <w:szCs w:val="23"/>
        </w:rPr>
        <w:t xml:space="preserve">, disponibili in 4 lunghezze, e possono sopportare carichi fino a 150 kg. La versione più lunga (896mm) può essere adattata anche verticalmente per essere utilizzata come asta per la doccia, munita di reggi soffione (all’occorrenza ergonomico) e di doccetta con flessibile. In questo modo il maniglione svolge il duplice </w:t>
      </w:r>
      <w:r w:rsidRPr="00E56EA0">
        <w:rPr>
          <w:rStyle w:val="Enfasigrassetto"/>
          <w:rFonts w:ascii="Arial" w:hAnsi="Arial" w:cs="Arial"/>
          <w:sz w:val="23"/>
          <w:szCs w:val="23"/>
        </w:rPr>
        <w:t>ruolo di ausilio di sicurezza</w:t>
      </w:r>
      <w:r w:rsidRPr="00E56EA0">
        <w:rPr>
          <w:rFonts w:ascii="Arial" w:hAnsi="Arial" w:cs="Arial"/>
          <w:sz w:val="23"/>
          <w:szCs w:val="23"/>
        </w:rPr>
        <w:t xml:space="preserve">, al quale l’utente può appoggiarsi per avere un supporto e, al contempo, essere un </w:t>
      </w:r>
      <w:r w:rsidRPr="00E56EA0">
        <w:rPr>
          <w:rStyle w:val="Enfasigrassetto"/>
          <w:rFonts w:ascii="Arial" w:hAnsi="Arial" w:cs="Arial"/>
          <w:sz w:val="23"/>
          <w:szCs w:val="23"/>
        </w:rPr>
        <w:t>complemento d’arredo</w:t>
      </w:r>
      <w:r w:rsidRPr="00E56EA0">
        <w:rPr>
          <w:rFonts w:ascii="Arial" w:hAnsi="Arial" w:cs="Arial"/>
          <w:sz w:val="23"/>
          <w:szCs w:val="23"/>
        </w:rPr>
        <w:t xml:space="preserve"> che ne consente, inoltre, altri utilizzi.</w:t>
      </w:r>
    </w:p>
    <w:p w14:paraId="19D63A10" w14:textId="77777777" w:rsidR="00BF798A" w:rsidRPr="00E56EA0" w:rsidRDefault="00BF798A" w:rsidP="00D1361F">
      <w:pPr>
        <w:pStyle w:val="isselectedend"/>
        <w:spacing w:before="0" w:beforeAutospacing="0" w:after="0" w:afterAutospacing="0"/>
        <w:ind w:left="567" w:right="418"/>
        <w:rPr>
          <w:rFonts w:ascii="Arial" w:hAnsi="Arial" w:cs="Arial"/>
          <w:sz w:val="23"/>
          <w:szCs w:val="23"/>
        </w:rPr>
      </w:pPr>
    </w:p>
    <w:p w14:paraId="35B7E08B" w14:textId="77777777" w:rsidR="00BF798A" w:rsidRDefault="0065572F" w:rsidP="00BF798A">
      <w:pPr>
        <w:pStyle w:val="NormaleWeb"/>
        <w:spacing w:before="0" w:beforeAutospacing="0" w:after="0" w:afterAutospacing="0"/>
        <w:ind w:left="567" w:right="420"/>
        <w:rPr>
          <w:rStyle w:val="Enfasigrassetto"/>
          <w:rFonts w:ascii="Arial" w:hAnsi="Arial" w:cs="Arial"/>
          <w:sz w:val="23"/>
          <w:szCs w:val="23"/>
        </w:rPr>
      </w:pPr>
      <w:r w:rsidRPr="00E56EA0">
        <w:rPr>
          <w:rStyle w:val="Enfasigrassetto"/>
          <w:rFonts w:ascii="Arial" w:hAnsi="Arial" w:cs="Arial"/>
          <w:sz w:val="23"/>
          <w:szCs w:val="23"/>
        </w:rPr>
        <w:t>Inclusività come nuova normalità</w:t>
      </w:r>
    </w:p>
    <w:p w14:paraId="76E5D299" w14:textId="636F08F7" w:rsidR="0065572F" w:rsidRPr="00E56EA0" w:rsidRDefault="0065572F" w:rsidP="00BF798A">
      <w:pPr>
        <w:pStyle w:val="NormaleWeb"/>
        <w:spacing w:before="0" w:beforeAutospacing="0" w:after="0" w:afterAutospacing="0"/>
        <w:ind w:left="567" w:right="420"/>
        <w:rPr>
          <w:sz w:val="23"/>
          <w:szCs w:val="23"/>
        </w:rPr>
      </w:pPr>
      <w:r w:rsidRPr="00E56EA0">
        <w:rPr>
          <w:rFonts w:ascii="Arial" w:hAnsi="Arial" w:cs="Arial"/>
          <w:sz w:val="23"/>
          <w:szCs w:val="23"/>
        </w:rPr>
        <w:br/>
        <w:t>Per Ponte Giulio l’inclusione è il punto di partenza: accessibilità e buon senso guidano una progettazione capace di migliorare la qualità della vita sotto il profilo motorio, sensoriale e percettivo. Superare le barriere significa anche affrontare ostacoli culturali e comportamentali, creando spazi che favoriscano autonomia, sicurezza e piena partecipazione</w:t>
      </w:r>
      <w:r w:rsidRPr="00E56EA0">
        <w:rPr>
          <w:sz w:val="23"/>
          <w:szCs w:val="23"/>
        </w:rPr>
        <w:t xml:space="preserve"> alla vita quotidiana.</w:t>
      </w:r>
    </w:p>
    <w:p w14:paraId="02FE7805" w14:textId="5CAA36D8" w:rsidR="004A2C71" w:rsidRPr="00BF798A" w:rsidRDefault="0065572F" w:rsidP="00BF798A">
      <w:pPr>
        <w:spacing w:before="100" w:beforeAutospacing="1" w:after="100" w:afterAutospacing="1"/>
        <w:ind w:left="567" w:right="418"/>
        <w:rPr>
          <w:rFonts w:ascii="Arial" w:eastAsia="Times New Roman" w:hAnsi="Arial" w:cs="Arial"/>
          <w:sz w:val="21"/>
          <w:szCs w:val="21"/>
          <w:lang w:eastAsia="it-IT"/>
        </w:rPr>
      </w:pPr>
      <w:r w:rsidRPr="00BF798A">
        <w:rPr>
          <w:rFonts w:ascii="Arial" w:eastAsia="Times New Roman" w:hAnsi="Arial" w:cs="Arial"/>
          <w:sz w:val="21"/>
          <w:szCs w:val="21"/>
          <w:lang w:eastAsia="it-IT"/>
        </w:rPr>
        <w:t>*</w:t>
      </w:r>
      <w:r w:rsidRPr="00BF798A">
        <w:rPr>
          <w:sz w:val="21"/>
          <w:szCs w:val="21"/>
        </w:rPr>
        <w:t xml:space="preserve"> </w:t>
      </w:r>
      <w:r w:rsidRPr="00BF798A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L’invecchiamento della popolazione mondiale è un fenomeno ormai conclamato Nel 1950 solo 8,1% della popolazione aveva una età superiore a 60 anni, nel 2050 si prevede che diventeranno il 22%</w:t>
      </w:r>
    </w:p>
    <w:p w14:paraId="25FF1E74" w14:textId="61B9CA5D" w:rsidR="00631E82" w:rsidRPr="00745BEF" w:rsidRDefault="00631E82" w:rsidP="00745BEF">
      <w:pPr>
        <w:pStyle w:val="Paragrafoelenco"/>
        <w:ind w:left="567" w:right="418"/>
        <w:rPr>
          <w:rFonts w:ascii="Arial" w:hAnsi="Arial" w:cs="Arial"/>
          <w:b/>
          <w:bCs/>
          <w:color w:val="000000"/>
          <w:sz w:val="23"/>
          <w:szCs w:val="23"/>
        </w:rPr>
      </w:pPr>
      <w:r w:rsidRPr="00E56EA0">
        <w:rPr>
          <w:rFonts w:ascii="Arial" w:hAnsi="Arial" w:cs="Arial"/>
          <w:b/>
          <w:bCs/>
          <w:color w:val="000000"/>
          <w:sz w:val="23"/>
          <w:szCs w:val="23"/>
        </w:rPr>
        <w:t>pontegiulio.com</w:t>
      </w:r>
    </w:p>
    <w:p w14:paraId="6AFC5DBB" w14:textId="60219B4A" w:rsidR="00631E82" w:rsidRPr="00BF798A" w:rsidRDefault="003B7B83" w:rsidP="00BF798A">
      <w:pPr>
        <w:pStyle w:val="Paragrafoelenco"/>
        <w:ind w:left="567" w:right="418"/>
        <w:rPr>
          <w:rFonts w:ascii="Arial" w:hAnsi="Arial" w:cs="Arial"/>
          <w:b/>
          <w:bCs/>
          <w:sz w:val="23"/>
          <w:szCs w:val="23"/>
        </w:rPr>
      </w:pPr>
      <w:r w:rsidRPr="00E56EA0">
        <w:rPr>
          <w:rFonts w:ascii="Arial" w:hAnsi="Arial" w:cs="Arial"/>
          <w:b/>
          <w:bCs/>
          <w:color w:val="000000"/>
          <w:sz w:val="23"/>
          <w:szCs w:val="23"/>
        </w:rPr>
        <w:t xml:space="preserve">Ufficio stampa e PR: </w:t>
      </w:r>
      <w:proofErr w:type="spellStart"/>
      <w:r w:rsidR="00631E82" w:rsidRPr="00E56EA0">
        <w:rPr>
          <w:rFonts w:ascii="Arial" w:hAnsi="Arial" w:cs="Arial"/>
          <w:b/>
          <w:bCs/>
          <w:color w:val="000000"/>
          <w:sz w:val="23"/>
          <w:szCs w:val="23"/>
        </w:rPr>
        <w:t>TAConline</w:t>
      </w:r>
      <w:proofErr w:type="spellEnd"/>
      <w:r w:rsidRPr="00E56EA0">
        <w:rPr>
          <w:rFonts w:ascii="Arial" w:hAnsi="Arial" w:cs="Arial"/>
          <w:b/>
          <w:bCs/>
          <w:color w:val="000000"/>
          <w:sz w:val="23"/>
          <w:szCs w:val="23"/>
        </w:rPr>
        <w:t xml:space="preserve"> | </w:t>
      </w:r>
      <w:hyperlink r:id="rId9" w:history="1">
        <w:r w:rsidR="00631E82" w:rsidRPr="00E56EA0">
          <w:rPr>
            <w:rStyle w:val="Collegamentoipertestuale"/>
            <w:rFonts w:ascii="Arial" w:hAnsi="Arial" w:cs="Arial"/>
            <w:b/>
            <w:bCs/>
            <w:sz w:val="23"/>
            <w:szCs w:val="23"/>
          </w:rPr>
          <w:t>press@taconline.it</w:t>
        </w:r>
      </w:hyperlink>
    </w:p>
    <w:sectPr w:rsidR="00631E82" w:rsidRPr="00BF798A" w:rsidSect="00E56EA0">
      <w:headerReference w:type="default" r:id="rId10"/>
      <w:pgSz w:w="11900" w:h="16840"/>
      <w:pgMar w:top="1417" w:right="1134" w:bottom="874" w:left="1134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D2C7" w14:textId="77777777" w:rsidR="000B5E7E" w:rsidRDefault="000B5E7E" w:rsidP="00886141">
      <w:r>
        <w:separator/>
      </w:r>
    </w:p>
  </w:endnote>
  <w:endnote w:type="continuationSeparator" w:id="0">
    <w:p w14:paraId="5620103B" w14:textId="77777777" w:rsidR="000B5E7E" w:rsidRDefault="000B5E7E" w:rsidP="0088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8DB5" w14:textId="77777777" w:rsidR="000B5E7E" w:rsidRDefault="000B5E7E" w:rsidP="00886141">
      <w:r>
        <w:separator/>
      </w:r>
    </w:p>
  </w:footnote>
  <w:footnote w:type="continuationSeparator" w:id="0">
    <w:p w14:paraId="33065C4C" w14:textId="77777777" w:rsidR="000B5E7E" w:rsidRDefault="000B5E7E" w:rsidP="0088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CE59" w14:textId="77777777" w:rsidR="00886141" w:rsidRDefault="00310149" w:rsidP="00310149">
    <w:pPr>
      <w:pStyle w:val="Intestazione"/>
      <w:tabs>
        <w:tab w:val="clear" w:pos="4819"/>
        <w:tab w:val="center" w:pos="4111"/>
      </w:tabs>
      <w:jc w:val="both"/>
    </w:pPr>
    <w:r>
      <w:rPr>
        <w:rFonts w:ascii="Calibri" w:eastAsia="Times New Roman" w:hAnsi="Calibri" w:cs="Calibri"/>
        <w:b/>
        <w:bCs/>
        <w:noProof/>
        <w:color w:val="000000"/>
        <w:sz w:val="40"/>
        <w:szCs w:val="40"/>
        <w:lang w:eastAsia="it-IT"/>
      </w:rPr>
      <w:drawing>
        <wp:inline distT="0" distB="0" distL="0" distR="0" wp14:anchorId="2333C510" wp14:editId="2A275A72">
          <wp:extent cx="924616" cy="432259"/>
          <wp:effectExtent l="0" t="0" r="2540" b="0"/>
          <wp:docPr id="2" name="Immagine 2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_Logo_20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410" cy="43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46899" w14:textId="77777777" w:rsidR="00886141" w:rsidRDefault="00886141" w:rsidP="00886141">
    <w:pPr>
      <w:pStyle w:val="Intestazione"/>
    </w:pPr>
  </w:p>
  <w:p w14:paraId="6EDD8E12" w14:textId="77777777" w:rsidR="00886141" w:rsidRPr="00886141" w:rsidRDefault="00886141" w:rsidP="008861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A4EDA"/>
    <w:multiLevelType w:val="hybridMultilevel"/>
    <w:tmpl w:val="3906EF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F2A2B"/>
    <w:multiLevelType w:val="multilevel"/>
    <w:tmpl w:val="B77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10BE3"/>
    <w:multiLevelType w:val="hybridMultilevel"/>
    <w:tmpl w:val="4D181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41BE"/>
    <w:multiLevelType w:val="hybridMultilevel"/>
    <w:tmpl w:val="B3D2F8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B44FE2"/>
    <w:multiLevelType w:val="multilevel"/>
    <w:tmpl w:val="AC08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55548"/>
    <w:multiLevelType w:val="hybridMultilevel"/>
    <w:tmpl w:val="CD5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7386">
    <w:abstractNumId w:val="7"/>
  </w:num>
  <w:num w:numId="2" w16cid:durableId="2074503471">
    <w:abstractNumId w:val="4"/>
  </w:num>
  <w:num w:numId="3" w16cid:durableId="1530725323">
    <w:abstractNumId w:val="6"/>
  </w:num>
  <w:num w:numId="4" w16cid:durableId="423189560">
    <w:abstractNumId w:val="5"/>
  </w:num>
  <w:num w:numId="5" w16cid:durableId="816186257">
    <w:abstractNumId w:val="3"/>
  </w:num>
  <w:num w:numId="6" w16cid:durableId="1156804381">
    <w:abstractNumId w:val="0"/>
  </w:num>
  <w:num w:numId="7" w16cid:durableId="1051343966">
    <w:abstractNumId w:val="1"/>
  </w:num>
  <w:num w:numId="8" w16cid:durableId="80373072">
    <w:abstractNumId w:val="2"/>
  </w:num>
  <w:num w:numId="9" w16cid:durableId="1320427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3A"/>
    <w:rsid w:val="000058C0"/>
    <w:rsid w:val="00006233"/>
    <w:rsid w:val="00031755"/>
    <w:rsid w:val="00077FF5"/>
    <w:rsid w:val="000B5E7E"/>
    <w:rsid w:val="000C473A"/>
    <w:rsid w:val="00132858"/>
    <w:rsid w:val="001A3D9F"/>
    <w:rsid w:val="001B656D"/>
    <w:rsid w:val="001C093C"/>
    <w:rsid w:val="001C7277"/>
    <w:rsid w:val="001D2E1F"/>
    <w:rsid w:val="00267D1D"/>
    <w:rsid w:val="00274E41"/>
    <w:rsid w:val="002F1179"/>
    <w:rsid w:val="00310149"/>
    <w:rsid w:val="0034243A"/>
    <w:rsid w:val="00376EC9"/>
    <w:rsid w:val="003B2B1A"/>
    <w:rsid w:val="003B7B83"/>
    <w:rsid w:val="003E0E71"/>
    <w:rsid w:val="003F11EF"/>
    <w:rsid w:val="003F5B82"/>
    <w:rsid w:val="00410B09"/>
    <w:rsid w:val="0042287F"/>
    <w:rsid w:val="00430B60"/>
    <w:rsid w:val="00430EE8"/>
    <w:rsid w:val="00432B2C"/>
    <w:rsid w:val="00476AAE"/>
    <w:rsid w:val="004A2C71"/>
    <w:rsid w:val="004C1ABC"/>
    <w:rsid w:val="004D3EFD"/>
    <w:rsid w:val="004D6DB4"/>
    <w:rsid w:val="004F05B0"/>
    <w:rsid w:val="005307EF"/>
    <w:rsid w:val="00534821"/>
    <w:rsid w:val="00555C00"/>
    <w:rsid w:val="00590286"/>
    <w:rsid w:val="005A29A1"/>
    <w:rsid w:val="00617C4E"/>
    <w:rsid w:val="006273F3"/>
    <w:rsid w:val="00631E82"/>
    <w:rsid w:val="0065572F"/>
    <w:rsid w:val="006662EF"/>
    <w:rsid w:val="006A3087"/>
    <w:rsid w:val="006A4106"/>
    <w:rsid w:val="006A5E23"/>
    <w:rsid w:val="00711347"/>
    <w:rsid w:val="00745BEF"/>
    <w:rsid w:val="00774670"/>
    <w:rsid w:val="0078788E"/>
    <w:rsid w:val="007B133D"/>
    <w:rsid w:val="00813303"/>
    <w:rsid w:val="00864C14"/>
    <w:rsid w:val="008810E4"/>
    <w:rsid w:val="00882817"/>
    <w:rsid w:val="00886141"/>
    <w:rsid w:val="008D55E1"/>
    <w:rsid w:val="008F2A37"/>
    <w:rsid w:val="009066F1"/>
    <w:rsid w:val="00934789"/>
    <w:rsid w:val="009A2130"/>
    <w:rsid w:val="00A2741C"/>
    <w:rsid w:val="00AD2C89"/>
    <w:rsid w:val="00B5346A"/>
    <w:rsid w:val="00B662A9"/>
    <w:rsid w:val="00B9282B"/>
    <w:rsid w:val="00B97895"/>
    <w:rsid w:val="00BF798A"/>
    <w:rsid w:val="00C40E1B"/>
    <w:rsid w:val="00C45731"/>
    <w:rsid w:val="00C47300"/>
    <w:rsid w:val="00CA58CB"/>
    <w:rsid w:val="00CA6D03"/>
    <w:rsid w:val="00CB3C9D"/>
    <w:rsid w:val="00CD2A4C"/>
    <w:rsid w:val="00CF1581"/>
    <w:rsid w:val="00D1361F"/>
    <w:rsid w:val="00D15CB6"/>
    <w:rsid w:val="00D21CB1"/>
    <w:rsid w:val="00D312B5"/>
    <w:rsid w:val="00D43C0E"/>
    <w:rsid w:val="00D67680"/>
    <w:rsid w:val="00DF4935"/>
    <w:rsid w:val="00E15DD2"/>
    <w:rsid w:val="00E17B70"/>
    <w:rsid w:val="00E435DD"/>
    <w:rsid w:val="00E56EA0"/>
    <w:rsid w:val="00E63D06"/>
    <w:rsid w:val="00E9199A"/>
    <w:rsid w:val="00F83DC0"/>
    <w:rsid w:val="00FA0458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60A30"/>
  <w15:chartTrackingRefBased/>
  <w15:docId w15:val="{6205D4B9-73EB-6E4D-AC2F-41489307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C1A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C1A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A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A7C"/>
    <w:pPr>
      <w:keepNext/>
      <w:keepLines/>
      <w:overflowPunct w:val="0"/>
      <w:autoSpaceDE w:val="0"/>
      <w:autoSpaceDN w:val="0"/>
      <w:adjustRightInd w:val="0"/>
      <w:spacing w:before="40"/>
      <w:jc w:val="both"/>
      <w:textAlignment w:val="baseline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2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4243A"/>
    <w:rPr>
      <w:b/>
      <w:bCs/>
    </w:rPr>
  </w:style>
  <w:style w:type="character" w:customStyle="1" w:styleId="apple-converted-space">
    <w:name w:val="apple-converted-space"/>
    <w:basedOn w:val="Carpredefinitoparagrafo"/>
    <w:rsid w:val="0034243A"/>
  </w:style>
  <w:style w:type="character" w:styleId="Enfasicorsivo">
    <w:name w:val="Emphasis"/>
    <w:basedOn w:val="Carpredefinitoparagrafo"/>
    <w:uiPriority w:val="20"/>
    <w:qFormat/>
    <w:rsid w:val="0034243A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AB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1AB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nhideWhenUsed/>
    <w:rsid w:val="004C1ABC"/>
    <w:rPr>
      <w:color w:val="0000FF"/>
      <w:u w:val="single"/>
    </w:rPr>
  </w:style>
  <w:style w:type="character" w:customStyle="1" w:styleId="active">
    <w:name w:val="active"/>
    <w:basedOn w:val="Carpredefinitoparagrafo"/>
    <w:rsid w:val="004C1ABC"/>
  </w:style>
  <w:style w:type="character" w:customStyle="1" w:styleId="separator">
    <w:name w:val="separator"/>
    <w:basedOn w:val="Carpredefinitoparagrafo"/>
    <w:rsid w:val="004C1ABC"/>
  </w:style>
  <w:style w:type="character" w:customStyle="1" w:styleId="58cl">
    <w:name w:val="_58cl"/>
    <w:basedOn w:val="Carpredefinitoparagrafo"/>
    <w:rsid w:val="00D312B5"/>
  </w:style>
  <w:style w:type="character" w:customStyle="1" w:styleId="58cm">
    <w:name w:val="_58cm"/>
    <w:basedOn w:val="Carpredefinitoparagrafo"/>
    <w:rsid w:val="00D312B5"/>
  </w:style>
  <w:style w:type="paragraph" w:styleId="Intestazione">
    <w:name w:val="header"/>
    <w:basedOn w:val="Normale"/>
    <w:link w:val="Intestazione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141"/>
  </w:style>
  <w:style w:type="paragraph" w:styleId="Pidipagina">
    <w:name w:val="footer"/>
    <w:basedOn w:val="Normale"/>
    <w:link w:val="Pidipagina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141"/>
  </w:style>
  <w:style w:type="paragraph" w:customStyle="1" w:styleId="Body">
    <w:name w:val="Body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it-IT"/>
    </w:rPr>
  </w:style>
  <w:style w:type="paragraph" w:customStyle="1" w:styleId="Default">
    <w:name w:val="Default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character" w:customStyle="1" w:styleId="Hyperlink0">
    <w:name w:val="Hyperlink.0"/>
    <w:basedOn w:val="Carpredefinitoparagrafo"/>
    <w:rsid w:val="00886141"/>
    <w:rPr>
      <w:color w:val="0000FF"/>
      <w:sz w:val="18"/>
      <w:szCs w:val="18"/>
      <w:u w:val="single" w:color="0000FF"/>
    </w:rPr>
  </w:style>
  <w:style w:type="character" w:customStyle="1" w:styleId="None">
    <w:name w:val="None"/>
    <w:rsid w:val="00886141"/>
  </w:style>
  <w:style w:type="character" w:customStyle="1" w:styleId="Hyperlink1">
    <w:name w:val="Hyperlink.1"/>
    <w:basedOn w:val="None"/>
    <w:rsid w:val="00886141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Carpredefinitoparagrafo"/>
    <w:rsid w:val="00886141"/>
    <w:rPr>
      <w:color w:val="0000FF"/>
      <w:sz w:val="18"/>
      <w:szCs w:val="18"/>
      <w:u w:val="single" w:color="0000FF"/>
    </w:rPr>
  </w:style>
  <w:style w:type="paragraph" w:styleId="Paragrafoelenco">
    <w:name w:val="List Paragraph"/>
    <w:basedOn w:val="Normale"/>
    <w:uiPriority w:val="34"/>
    <w:qFormat/>
    <w:rsid w:val="004D3EFD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A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A7C"/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paragraph" w:customStyle="1" w:styleId="Corpodeltesto21">
    <w:name w:val="Corpo del testo 21"/>
    <w:basedOn w:val="Normale"/>
    <w:rsid w:val="00FF2A7C"/>
    <w:pPr>
      <w:tabs>
        <w:tab w:val="left" w:pos="7230"/>
      </w:tabs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3">
    <w:name w:val="Corpo del testo 23"/>
    <w:basedOn w:val="Normale"/>
    <w:rsid w:val="00FF2A7C"/>
    <w:pPr>
      <w:tabs>
        <w:tab w:val="left" w:pos="7230"/>
      </w:tabs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6qdm">
    <w:name w:val="_6qdm"/>
    <w:basedOn w:val="Carpredefinitoparagrafo"/>
    <w:rsid w:val="00FF2A7C"/>
  </w:style>
  <w:style w:type="character" w:styleId="Menzionenonrisolta">
    <w:name w:val="Unresolved Mention"/>
    <w:basedOn w:val="Carpredefinitoparagrafo"/>
    <w:uiPriority w:val="99"/>
    <w:semiHidden/>
    <w:unhideWhenUsed/>
    <w:rsid w:val="001A3D9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1">
    <w:name w:val="p1"/>
    <w:basedOn w:val="Normale"/>
    <w:rsid w:val="008828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2817"/>
    <w:rPr>
      <w:color w:val="954F72" w:themeColor="followedHyperlink"/>
      <w:u w:val="single"/>
    </w:rPr>
  </w:style>
  <w:style w:type="paragraph" w:customStyle="1" w:styleId="isselectedend">
    <w:name w:val="isselectedend"/>
    <w:basedOn w:val="Normale"/>
    <w:rsid w:val="00E435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3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986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cp:lastPrinted>2026-02-19T14:45:00Z</cp:lastPrinted>
  <dcterms:created xsi:type="dcterms:W3CDTF">2026-02-19T16:39:00Z</dcterms:created>
  <dcterms:modified xsi:type="dcterms:W3CDTF">2026-02-19T18:02:00Z</dcterms:modified>
</cp:coreProperties>
</file>