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B6F3" w14:textId="77777777" w:rsidR="00EF7548" w:rsidRPr="001F310D" w:rsidRDefault="00EF7548" w:rsidP="009A4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</w:p>
    <w:p w14:paraId="2967F8B1" w14:textId="7EB793C3" w:rsidR="00222EF6" w:rsidRPr="001F310D" w:rsidRDefault="00222EF6" w:rsidP="009A4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  <w:r w:rsidRPr="001F310D">
        <w:rPr>
          <w:rFonts w:ascii="Barlow" w:hAnsi="Barlow"/>
          <w:b/>
          <w:bCs/>
          <w:sz w:val="20"/>
          <w:szCs w:val="20"/>
          <w:lang w:val="it-IT"/>
        </w:rPr>
        <w:t xml:space="preserve">Comunicato stampa | </w:t>
      </w:r>
      <w:proofErr w:type="gramStart"/>
      <w:r w:rsidR="00B67148">
        <w:rPr>
          <w:rFonts w:ascii="Barlow" w:hAnsi="Barlow"/>
          <w:b/>
          <w:bCs/>
          <w:sz w:val="20"/>
          <w:szCs w:val="20"/>
          <w:lang w:val="it-IT"/>
        </w:rPr>
        <w:t>Giugno</w:t>
      </w:r>
      <w:proofErr w:type="gramEnd"/>
      <w:r w:rsidR="002133E4" w:rsidRPr="001F310D">
        <w:rPr>
          <w:rFonts w:ascii="Barlow" w:hAnsi="Barlow"/>
          <w:b/>
          <w:bCs/>
          <w:sz w:val="20"/>
          <w:szCs w:val="20"/>
          <w:lang w:val="it-IT"/>
        </w:rPr>
        <w:t xml:space="preserve"> </w:t>
      </w:r>
      <w:r w:rsidR="00DA5B81" w:rsidRPr="001F310D">
        <w:rPr>
          <w:rFonts w:ascii="Barlow" w:hAnsi="Barlow"/>
          <w:b/>
          <w:bCs/>
          <w:sz w:val="20"/>
          <w:szCs w:val="20"/>
          <w:lang w:val="it-IT"/>
        </w:rPr>
        <w:t>2026</w:t>
      </w:r>
    </w:p>
    <w:p w14:paraId="75714BA3" w14:textId="77777777" w:rsidR="002133E4" w:rsidRPr="001F310D" w:rsidRDefault="002133E4" w:rsidP="00255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</w:p>
    <w:p w14:paraId="2D8764EB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Style w:val="Enfasigrassetto"/>
          <w:rFonts w:ascii="Barlow" w:hAnsi="Barlow"/>
          <w:sz w:val="28"/>
          <w:szCs w:val="28"/>
          <w:lang w:val="it-IT"/>
        </w:rPr>
      </w:pPr>
      <w:r w:rsidRPr="001F310D">
        <w:rPr>
          <w:rStyle w:val="Enfasigrassetto"/>
          <w:rFonts w:ascii="Barlow" w:hAnsi="Barlow"/>
          <w:sz w:val="28"/>
          <w:szCs w:val="28"/>
          <w:lang w:val="it-IT"/>
        </w:rPr>
        <w:t xml:space="preserve">A CERSAIE 2026, L’ACCADEMIA DELLO SHOWROOM PROTAGONISTA DELLA FORMAZIONE </w:t>
      </w:r>
    </w:p>
    <w:p w14:paraId="3E3752C7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Style w:val="Enfasicorsivo"/>
          <w:rFonts w:ascii="Barlow" w:hAnsi="Barlow"/>
          <w:lang w:val="it-IT"/>
        </w:rPr>
      </w:pPr>
    </w:p>
    <w:p w14:paraId="6B6F7A1A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i/>
          <w:iCs/>
          <w:lang w:val="it-IT" w:eastAsia="it-IT"/>
        </w:rPr>
      </w:pPr>
      <w:r w:rsidRPr="001F310D">
        <w:rPr>
          <w:rFonts w:ascii="Barlow" w:eastAsia="Times New Roman" w:hAnsi="Barlow"/>
          <w:b/>
          <w:bCs/>
          <w:i/>
          <w:iCs/>
          <w:lang w:val="it-IT" w:eastAsia="it-IT"/>
        </w:rPr>
        <w:t>Confindustria Ceramica</w:t>
      </w:r>
      <w:r w:rsidRPr="001F310D">
        <w:rPr>
          <w:rFonts w:ascii="Barlow" w:eastAsia="Times New Roman" w:hAnsi="Barlow"/>
          <w:i/>
          <w:iCs/>
          <w:lang w:val="it-IT" w:eastAsia="it-IT"/>
        </w:rPr>
        <w:t xml:space="preserve">, </w:t>
      </w:r>
      <w:r w:rsidRPr="001F310D">
        <w:rPr>
          <w:rFonts w:ascii="Barlow" w:eastAsia="Times New Roman" w:hAnsi="Barlow"/>
          <w:b/>
          <w:bCs/>
          <w:i/>
          <w:iCs/>
          <w:lang w:val="it-IT" w:eastAsia="it-IT"/>
        </w:rPr>
        <w:t>Edi.Cer.</w:t>
      </w:r>
      <w:r w:rsidRPr="001F310D">
        <w:rPr>
          <w:rFonts w:ascii="Barlow" w:eastAsia="Times New Roman" w:hAnsi="Barlow"/>
          <w:i/>
          <w:iCs/>
          <w:lang w:val="it-IT" w:eastAsia="it-IT"/>
        </w:rPr>
        <w:t xml:space="preserve">, </w:t>
      </w:r>
      <w:r w:rsidRPr="001F310D">
        <w:rPr>
          <w:rFonts w:ascii="Barlow" w:eastAsia="Times New Roman" w:hAnsi="Barlow"/>
          <w:b/>
          <w:bCs/>
          <w:i/>
          <w:iCs/>
          <w:lang w:val="it-IT" w:eastAsia="it-IT"/>
        </w:rPr>
        <w:t>Cersaie</w:t>
      </w:r>
      <w:r w:rsidRPr="001F310D">
        <w:rPr>
          <w:rFonts w:ascii="Barlow" w:eastAsia="Times New Roman" w:hAnsi="Barlow"/>
          <w:i/>
          <w:iCs/>
          <w:lang w:val="it-IT" w:eastAsia="it-IT"/>
        </w:rPr>
        <w:t xml:space="preserve"> affidano a </w:t>
      </w:r>
      <w:r w:rsidRPr="001F310D">
        <w:rPr>
          <w:rFonts w:ascii="Barlow" w:eastAsia="Times New Roman" w:hAnsi="Barlow"/>
          <w:b/>
          <w:bCs/>
          <w:i/>
          <w:iCs/>
          <w:lang w:val="it-IT" w:eastAsia="it-IT"/>
        </w:rPr>
        <w:t>L’Accademia dello Showroom</w:t>
      </w:r>
      <w:r w:rsidRPr="001F310D">
        <w:rPr>
          <w:rFonts w:ascii="Barlow" w:eastAsia="Times New Roman" w:hAnsi="Barlow"/>
          <w:i/>
          <w:iCs/>
          <w:lang w:val="it-IT" w:eastAsia="it-IT"/>
        </w:rPr>
        <w:t xml:space="preserve"> lo sviluppo di un programma ad alto contenuto formativo.</w:t>
      </w:r>
    </w:p>
    <w:p w14:paraId="2EAC212C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Style w:val="Enfasicorsivo"/>
          <w:rFonts w:ascii="Barlow" w:hAnsi="Barlow"/>
          <w:lang w:val="it-IT"/>
        </w:rPr>
      </w:pPr>
    </w:p>
    <w:p w14:paraId="1C8153DA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hAnsi="Barlow"/>
          <w:lang w:val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In un contesto dove le filiere </w:t>
      </w:r>
      <w:r w:rsidRPr="001F310D">
        <w:rPr>
          <w:rFonts w:ascii="Barlow" w:hAnsi="Barlow"/>
          <w:lang w:val="it-IT"/>
        </w:rPr>
        <w:t xml:space="preserve">devono continuamente ridefinire il proprio ruolo, </w:t>
      </w:r>
      <w:r w:rsidRPr="001F310D">
        <w:rPr>
          <w:rFonts w:ascii="Barlow" w:hAnsi="Barlow"/>
          <w:b/>
          <w:bCs/>
          <w:lang w:val="it-IT"/>
        </w:rPr>
        <w:t>Cersaie</w:t>
      </w:r>
      <w:r w:rsidRPr="001F310D">
        <w:rPr>
          <w:rFonts w:ascii="Barlow" w:hAnsi="Barlow"/>
          <w:lang w:val="it-IT"/>
        </w:rPr>
        <w:t xml:space="preserve"> si conferma una delle manifestazioni fieristiche più dinamiche da un punto di vista sia espositivo, sia culturale. </w:t>
      </w:r>
      <w:r w:rsidRPr="001F310D">
        <w:rPr>
          <w:rFonts w:ascii="Barlow" w:eastAsia="Times New Roman" w:hAnsi="Barlow"/>
          <w:lang w:val="it-IT" w:eastAsia="it-IT"/>
        </w:rPr>
        <w:t xml:space="preserve">Oltre a rappresentare uno dei principali veicoli per la presentazione dei prodotti, infatti, </w:t>
      </w:r>
      <w:r w:rsidRPr="001F310D">
        <w:rPr>
          <w:rFonts w:ascii="Barlow" w:eastAsia="Times New Roman" w:hAnsi="Barlow"/>
          <w:b/>
          <w:bCs/>
          <w:lang w:val="it-IT" w:eastAsia="it-IT"/>
        </w:rPr>
        <w:t>Cersaie</w:t>
      </w:r>
      <w:r w:rsidRPr="001F310D">
        <w:rPr>
          <w:rFonts w:ascii="Barlow" w:eastAsia="Times New Roman" w:hAnsi="Barlow"/>
          <w:lang w:val="it-IT" w:eastAsia="it-IT"/>
        </w:rPr>
        <w:t xml:space="preserve"> mette da sempre al centro dei suoi agorà numerosi eventi e incontri connessi alla crescita e allo sviluppo del settore.</w:t>
      </w:r>
    </w:p>
    <w:p w14:paraId="287A94E2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01AE6EE8" w14:textId="238349C1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Per l’edizione 2026, </w:t>
      </w:r>
      <w:r w:rsidRPr="001F310D">
        <w:rPr>
          <w:rFonts w:ascii="Barlow" w:eastAsia="Times New Roman" w:hAnsi="Barlow"/>
          <w:b/>
          <w:bCs/>
          <w:lang w:val="it-IT" w:eastAsia="it-IT"/>
        </w:rPr>
        <w:t>Cersaie</w:t>
      </w:r>
      <w:r w:rsidRPr="001F310D">
        <w:rPr>
          <w:rFonts w:ascii="Barlow" w:eastAsia="Times New Roman" w:hAnsi="Barlow"/>
          <w:lang w:val="it-IT" w:eastAsia="it-IT"/>
        </w:rPr>
        <w:t xml:space="preserve">, con il coinvolgimento di </w:t>
      </w:r>
      <w:r w:rsidRPr="001F310D">
        <w:rPr>
          <w:rFonts w:ascii="Barlow" w:eastAsia="Times New Roman" w:hAnsi="Barlow"/>
          <w:b/>
          <w:bCs/>
          <w:lang w:val="it-IT" w:eastAsia="it-IT"/>
        </w:rPr>
        <w:t>Confindustria Ceramica</w:t>
      </w:r>
      <w:r w:rsidRPr="001F310D">
        <w:rPr>
          <w:rFonts w:ascii="Barlow" w:eastAsia="Times New Roman" w:hAnsi="Barlow"/>
          <w:lang w:val="it-IT" w:eastAsia="it-IT"/>
        </w:rPr>
        <w:t xml:space="preserve"> </w:t>
      </w:r>
      <w:proofErr w:type="gramStart"/>
      <w:r w:rsidRPr="001F310D">
        <w:rPr>
          <w:rFonts w:ascii="Barlow" w:eastAsia="Times New Roman" w:hAnsi="Barlow"/>
          <w:lang w:val="it-IT" w:eastAsia="it-IT"/>
        </w:rPr>
        <w:t>ed</w:t>
      </w:r>
      <w:proofErr w:type="gramEnd"/>
      <w:r w:rsidRPr="001F310D">
        <w:rPr>
          <w:rFonts w:ascii="Barlow" w:eastAsia="Times New Roman" w:hAnsi="Barlow"/>
          <w:lang w:val="it-IT" w:eastAsia="it-IT"/>
        </w:rPr>
        <w:t xml:space="preserve"> </w:t>
      </w:r>
      <w:r w:rsidRPr="001F310D">
        <w:rPr>
          <w:rFonts w:ascii="Barlow" w:eastAsia="Times New Roman" w:hAnsi="Barlow"/>
          <w:b/>
          <w:bCs/>
          <w:lang w:val="it-IT" w:eastAsia="it-IT"/>
        </w:rPr>
        <w:t>Edi.Cer</w:t>
      </w:r>
      <w:r w:rsidRPr="001F310D">
        <w:rPr>
          <w:rFonts w:ascii="Barlow" w:eastAsia="Times New Roman" w:hAnsi="Barlow"/>
          <w:lang w:val="it-IT" w:eastAsia="it-IT"/>
        </w:rPr>
        <w:t xml:space="preserve"> e con il supporto delle principali associazioni della distribuzione (</w:t>
      </w:r>
      <w:proofErr w:type="spellStart"/>
      <w:r w:rsidR="00264C26">
        <w:rPr>
          <w:rFonts w:ascii="Barlow" w:eastAsia="Times New Roman" w:hAnsi="Barlow"/>
          <w:i/>
          <w:iCs/>
          <w:lang w:val="it-IT" w:eastAsia="it-IT"/>
        </w:rPr>
        <w:t>Ser</w:t>
      </w:r>
      <w:r w:rsidR="00264C26" w:rsidRPr="001F310D">
        <w:rPr>
          <w:rFonts w:ascii="Barlow" w:eastAsia="Times New Roman" w:hAnsi="Barlow"/>
          <w:i/>
          <w:iCs/>
          <w:lang w:val="it-IT" w:eastAsia="it-IT"/>
        </w:rPr>
        <w:t>comated</w:t>
      </w:r>
      <w:proofErr w:type="spellEnd"/>
      <w:r w:rsidR="00264C26" w:rsidRPr="001F310D">
        <w:rPr>
          <w:rFonts w:ascii="Barlow" w:eastAsia="Times New Roman" w:hAnsi="Barlow"/>
          <w:lang w:val="it-IT" w:eastAsia="it-IT"/>
        </w:rPr>
        <w:t xml:space="preserve"> </w:t>
      </w:r>
      <w:r w:rsidRPr="001F310D">
        <w:rPr>
          <w:rFonts w:ascii="Barlow" w:eastAsia="Times New Roman" w:hAnsi="Barlow"/>
          <w:lang w:val="it-IT" w:eastAsia="it-IT"/>
        </w:rPr>
        <w:t xml:space="preserve">e </w:t>
      </w:r>
      <w:r w:rsidRPr="001F310D">
        <w:rPr>
          <w:rFonts w:ascii="Barlow" w:eastAsia="Times New Roman" w:hAnsi="Barlow"/>
          <w:i/>
          <w:iCs/>
          <w:lang w:val="it-IT" w:eastAsia="it-IT"/>
        </w:rPr>
        <w:t>Angaisa</w:t>
      </w:r>
      <w:r w:rsidRPr="001F310D">
        <w:rPr>
          <w:rFonts w:ascii="Barlow" w:eastAsia="Times New Roman" w:hAnsi="Barlow"/>
          <w:lang w:val="it-IT" w:eastAsia="it-IT"/>
        </w:rPr>
        <w:t xml:space="preserve">), ha assegnato a </w:t>
      </w:r>
      <w:r w:rsidRPr="001F310D">
        <w:rPr>
          <w:rFonts w:ascii="Barlow" w:eastAsia="Times New Roman" w:hAnsi="Barlow"/>
          <w:b/>
          <w:bCs/>
          <w:lang w:val="it-IT" w:eastAsia="it-IT"/>
        </w:rPr>
        <w:t>L’Accademia dello Showroom</w:t>
      </w:r>
      <w:r w:rsidRPr="001F310D">
        <w:rPr>
          <w:rFonts w:ascii="Barlow" w:eastAsia="Times New Roman" w:hAnsi="Barlow"/>
          <w:lang w:val="it-IT" w:eastAsia="it-IT"/>
        </w:rPr>
        <w:t xml:space="preserve"> l’organizzazione di una serie sessioni formative ad alta intensità culturale costruite specificatamente sulle esigenze operative </w:t>
      </w:r>
      <w:r w:rsidRPr="001F310D">
        <w:rPr>
          <w:rStyle w:val="Enfasicorsivo"/>
          <w:rFonts w:ascii="Barlow" w:hAnsi="Barlow"/>
          <w:i w:val="0"/>
          <w:iCs w:val="0"/>
          <w:lang w:val="it-IT"/>
        </w:rPr>
        <w:t>degli operatori del settore superfici e arredobagno</w:t>
      </w:r>
      <w:r w:rsidRPr="001F310D">
        <w:rPr>
          <w:rFonts w:ascii="Barlow" w:eastAsia="Times New Roman" w:hAnsi="Barlow"/>
          <w:lang w:val="it-IT" w:eastAsia="it-IT"/>
        </w:rPr>
        <w:t>.</w:t>
      </w:r>
    </w:p>
    <w:p w14:paraId="1BE174BA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3347D120" w14:textId="7EB13FDC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Con questa iniziativa, oltre a rafforzare il proprio ruolo di </w:t>
      </w:r>
      <w:r w:rsidRPr="001F310D">
        <w:rPr>
          <w:rFonts w:ascii="Barlow" w:hAnsi="Barlow"/>
          <w:lang w:val="it-IT"/>
        </w:rPr>
        <w:t xml:space="preserve">organismo di rappresentanza industriale, </w:t>
      </w:r>
      <w:r w:rsidRPr="001F310D">
        <w:rPr>
          <w:rFonts w:ascii="Barlow" w:hAnsi="Barlow"/>
          <w:b/>
          <w:bCs/>
          <w:lang w:val="it-IT"/>
        </w:rPr>
        <w:t>Confindustria Ceramica</w:t>
      </w:r>
      <w:r w:rsidRPr="001F310D">
        <w:rPr>
          <w:rFonts w:ascii="Barlow" w:hAnsi="Barlow"/>
          <w:lang w:val="it-IT"/>
        </w:rPr>
        <w:t xml:space="preserve"> offre alla distribuzione una motivazione forte e tangibile per tornare a vivere </w:t>
      </w:r>
      <w:r w:rsidRPr="001F310D">
        <w:rPr>
          <w:rFonts w:ascii="Barlow" w:hAnsi="Barlow"/>
          <w:b/>
          <w:bCs/>
          <w:lang w:val="it-IT"/>
        </w:rPr>
        <w:t>Cersaie</w:t>
      </w:r>
      <w:r w:rsidRPr="001F310D">
        <w:rPr>
          <w:rFonts w:ascii="Barlow" w:hAnsi="Barlow"/>
          <w:lang w:val="it-IT"/>
        </w:rPr>
        <w:t xml:space="preserve"> come evento irrinunciabile, trasformando </w:t>
      </w:r>
      <w:r w:rsidRPr="001F310D">
        <w:rPr>
          <w:rFonts w:ascii="Barlow" w:eastAsia="Times New Roman" w:hAnsi="Barlow"/>
          <w:lang w:val="it-IT" w:eastAsia="it-IT"/>
        </w:rPr>
        <w:t>la partecipazione degli operatori in un investimento concreto finalizzato all’acquisizione di competenze professionali.</w:t>
      </w:r>
    </w:p>
    <w:p w14:paraId="652E8307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44658B8B" w14:textId="70EBD773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”Oggi il punto vendita non può più limitarsi a trasferire informazioni tecniche: deve interpretare il progetto e accompagnare il cliente nelle scelte”, osserva </w:t>
      </w:r>
      <w:r w:rsidRPr="001F310D">
        <w:rPr>
          <w:rFonts w:ascii="Barlow" w:eastAsia="Times New Roman" w:hAnsi="Barlow"/>
          <w:b/>
          <w:bCs/>
          <w:lang w:val="it-IT" w:eastAsia="it-IT"/>
        </w:rPr>
        <w:t>Veronica Verona</w:t>
      </w:r>
      <w:r w:rsidRPr="001F310D">
        <w:rPr>
          <w:rFonts w:ascii="Barlow" w:eastAsia="Times New Roman" w:hAnsi="Barlow"/>
          <w:lang w:val="it-IT" w:eastAsia="it-IT"/>
        </w:rPr>
        <w:t xml:space="preserve">, </w:t>
      </w:r>
      <w:r w:rsidRPr="001F310D">
        <w:rPr>
          <w:rFonts w:ascii="Barlow" w:eastAsia="Times New Roman" w:hAnsi="Barlow"/>
          <w:b/>
          <w:bCs/>
          <w:lang w:val="it-IT" w:eastAsia="it-IT"/>
        </w:rPr>
        <w:t>Dirett</w:t>
      </w:r>
      <w:r w:rsidR="00264C26">
        <w:rPr>
          <w:rFonts w:ascii="Barlow" w:eastAsia="Times New Roman" w:hAnsi="Barlow"/>
          <w:b/>
          <w:bCs/>
          <w:lang w:val="it-IT" w:eastAsia="it-IT"/>
        </w:rPr>
        <w:t>ore</w:t>
      </w:r>
      <w:r w:rsidRPr="001F310D">
        <w:rPr>
          <w:rFonts w:ascii="Barlow" w:eastAsia="Times New Roman" w:hAnsi="Barlow"/>
          <w:lang w:val="it-IT" w:eastAsia="it-IT"/>
        </w:rPr>
        <w:t xml:space="preserve"> de </w:t>
      </w:r>
      <w:r w:rsidRPr="001F310D">
        <w:rPr>
          <w:rFonts w:ascii="Barlow" w:eastAsia="Times New Roman" w:hAnsi="Barlow"/>
          <w:b/>
          <w:bCs/>
          <w:lang w:val="it-IT" w:eastAsia="it-IT"/>
        </w:rPr>
        <w:t>L’Accademia dello Showroom</w:t>
      </w:r>
      <w:r w:rsidRPr="001F310D">
        <w:rPr>
          <w:rFonts w:ascii="Barlow" w:eastAsia="Times New Roman" w:hAnsi="Barlow"/>
          <w:lang w:val="it-IT" w:eastAsia="it-IT"/>
        </w:rPr>
        <w:t>. “Per questo abbiamo costruito un programma fortemente operativo, pensato per fornire strumenti utilizzabili nella relazione di vendita e che possa immediatamente incidere sulla qualità della consulenza e sulla capacità di difendere il valore economico delle offerte”.</w:t>
      </w:r>
    </w:p>
    <w:p w14:paraId="06A731D6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572F8627" w14:textId="212FF46F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Il programma prevede l’organizzazione di una serie di sessioni modulari gratuite all’interno del quartiere espositivo che saranno riservate a un massimo di </w:t>
      </w:r>
      <w:r w:rsidR="00264C26">
        <w:rPr>
          <w:rFonts w:ascii="Barlow" w:eastAsia="Times New Roman" w:hAnsi="Barlow"/>
          <w:lang w:val="it-IT" w:eastAsia="it-IT"/>
        </w:rPr>
        <w:t>5</w:t>
      </w:r>
      <w:r w:rsidRPr="001F310D">
        <w:rPr>
          <w:rFonts w:ascii="Barlow" w:eastAsia="Times New Roman" w:hAnsi="Barlow"/>
          <w:lang w:val="it-IT" w:eastAsia="it-IT"/>
        </w:rPr>
        <w:t xml:space="preserve">0 </w:t>
      </w:r>
      <w:r w:rsidR="00264C26">
        <w:rPr>
          <w:rFonts w:ascii="Barlow" w:eastAsia="Times New Roman" w:hAnsi="Barlow"/>
          <w:lang w:val="it-IT" w:eastAsia="it-IT"/>
        </w:rPr>
        <w:t>addetti alle vendite al giorno</w:t>
      </w:r>
      <w:r w:rsidRPr="001F310D">
        <w:rPr>
          <w:rFonts w:ascii="Barlow" w:eastAsia="Times New Roman" w:hAnsi="Barlow"/>
          <w:lang w:val="it-IT" w:eastAsia="it-IT"/>
        </w:rPr>
        <w:t xml:space="preserve"> per garantire ai partecipanti la massima qualità di interazione, la migliore efficacia didattica, senza compromettere in alcun modo le attività operative da svolgere in fiera.</w:t>
      </w:r>
    </w:p>
    <w:p w14:paraId="553A74D6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3EA11A72" w14:textId="47C10929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I contenuti, oltre ad affrontare il tema della sostenibilità, come leva concreta di vendita e di posizionamento, approfondiranno uno degli argomenti più rilevanti per la distribuzione contemporanea: </w:t>
      </w:r>
      <w:r w:rsidR="00264C26">
        <w:rPr>
          <w:rFonts w:ascii="Barlow" w:eastAsia="Times New Roman" w:hAnsi="Barlow"/>
          <w:lang w:val="it-IT" w:eastAsia="it-IT"/>
        </w:rPr>
        <w:t>proporre prodotti di fascia premium, attraverso argomentazioni commerciali capaci di generare il consenso nel cliente</w:t>
      </w:r>
      <w:r w:rsidRPr="001F310D">
        <w:rPr>
          <w:rFonts w:ascii="Barlow" w:eastAsia="Times New Roman" w:hAnsi="Barlow"/>
          <w:lang w:val="it-IT" w:eastAsia="it-IT"/>
        </w:rPr>
        <w:t xml:space="preserve">. </w:t>
      </w:r>
    </w:p>
    <w:p w14:paraId="4580660C" w14:textId="77777777" w:rsidR="001F310D" w:rsidRP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69D7C402" w14:textId="75B12307" w:rsidR="001F310D" w:rsidRDefault="001F310D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  <w:r w:rsidRPr="001F310D">
        <w:rPr>
          <w:rFonts w:ascii="Barlow" w:eastAsia="Times New Roman" w:hAnsi="Barlow"/>
          <w:lang w:val="it-IT" w:eastAsia="it-IT"/>
        </w:rPr>
        <w:t xml:space="preserve">“Integrare un’offerta formativa strutturata all’interno di </w:t>
      </w:r>
      <w:r w:rsidRPr="001F310D">
        <w:rPr>
          <w:rFonts w:ascii="Barlow" w:eastAsia="Times New Roman" w:hAnsi="Barlow"/>
          <w:b/>
          <w:bCs/>
          <w:lang w:val="it-IT" w:eastAsia="it-IT"/>
        </w:rPr>
        <w:t>Cersaie</w:t>
      </w:r>
      <w:r w:rsidRPr="001F310D">
        <w:rPr>
          <w:rFonts w:ascii="Barlow" w:eastAsia="Times New Roman" w:hAnsi="Barlow"/>
          <w:lang w:val="it-IT" w:eastAsia="it-IT"/>
        </w:rPr>
        <w:t xml:space="preserve"> significa dare ancor più valore a una visita alla nostra manifestazione fieristica che, oltre ad essere una vetrina internazionale per la presentazione delle novità di prodotto, rafforza il suo ruolo come piattaforma culturale e professionale in cui si costruiscono e si qualificano le relazioni tra industria e distribuzione” sottolinea </w:t>
      </w:r>
      <w:r w:rsidRPr="001F310D">
        <w:rPr>
          <w:rFonts w:ascii="Barlow" w:eastAsia="Times New Roman" w:hAnsi="Barlow"/>
          <w:b/>
          <w:bCs/>
          <w:lang w:val="it-IT" w:eastAsia="it-IT"/>
        </w:rPr>
        <w:t>Andrea Serri</w:t>
      </w:r>
      <w:r w:rsidRPr="001F310D">
        <w:rPr>
          <w:rFonts w:ascii="Barlow" w:eastAsia="Times New Roman" w:hAnsi="Barlow"/>
          <w:lang w:val="it-IT" w:eastAsia="it-IT"/>
        </w:rPr>
        <w:t xml:space="preserve">, capo ufficio stampa di </w:t>
      </w:r>
      <w:r w:rsidRPr="001F310D">
        <w:rPr>
          <w:rFonts w:ascii="Barlow" w:eastAsia="Times New Roman" w:hAnsi="Barlow"/>
          <w:b/>
          <w:bCs/>
          <w:lang w:val="it-IT" w:eastAsia="it-IT"/>
        </w:rPr>
        <w:t>Confindustria Ceramica</w:t>
      </w:r>
      <w:r w:rsidRPr="001F310D">
        <w:rPr>
          <w:rFonts w:ascii="Barlow" w:eastAsia="Times New Roman" w:hAnsi="Barlow"/>
          <w:lang w:val="it-IT" w:eastAsia="it-IT"/>
        </w:rPr>
        <w:t>.</w:t>
      </w:r>
    </w:p>
    <w:p w14:paraId="51E2FD87" w14:textId="77777777" w:rsidR="005F554A" w:rsidRDefault="005F554A" w:rsidP="001F310D">
      <w:pPr>
        <w:spacing w:before="100" w:beforeAutospacing="1" w:after="100" w:afterAutospacing="1"/>
        <w:contextualSpacing/>
        <w:jc w:val="both"/>
        <w:rPr>
          <w:rFonts w:ascii="Barlow" w:eastAsia="Times New Roman" w:hAnsi="Barlow"/>
          <w:lang w:val="it-IT" w:eastAsia="it-IT"/>
        </w:rPr>
      </w:pPr>
    </w:p>
    <w:p w14:paraId="0D66D152" w14:textId="77777777" w:rsidR="00B67148" w:rsidRDefault="00B67148" w:rsidP="001F3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color w:val="FF0000"/>
          <w:sz w:val="32"/>
          <w:szCs w:val="32"/>
          <w:lang w:val="it-IT" w:eastAsia="it-IT"/>
        </w:rPr>
      </w:pPr>
    </w:p>
    <w:p w14:paraId="4FA98B77" w14:textId="0E7DDBD2" w:rsidR="002A0F74" w:rsidRDefault="00DA5B81" w:rsidP="001F3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</w:pPr>
      <w:r w:rsidRPr="001F310D"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  <w:lastRenderedPageBreak/>
        <w:t>IMMAGINI DISPONIBILI</w:t>
      </w:r>
    </w:p>
    <w:p w14:paraId="15A68418" w14:textId="77777777" w:rsidR="001F310D" w:rsidRPr="001F310D" w:rsidRDefault="001F310D" w:rsidP="001F3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</w:pPr>
    </w:p>
    <w:p w14:paraId="0DDB6B09" w14:textId="20E875D9" w:rsidR="00DA5B81" w:rsidRPr="001F310D" w:rsidRDefault="00AE06D6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50072A09" wp14:editId="1B03D896">
            <wp:extent cx="6661785" cy="7206615"/>
            <wp:effectExtent l="0" t="0" r="5715" b="0"/>
            <wp:docPr id="7499403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40344" name="Immagine 749940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720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B0FC" w14:textId="054803E0" w:rsidR="00E14122" w:rsidRPr="00B67148" w:rsidRDefault="001F310D" w:rsidP="00B671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Barlow" w:hAnsi="Barlow"/>
          <w:b/>
          <w:bCs/>
          <w:sz w:val="18"/>
          <w:szCs w:val="18"/>
          <w:lang w:val="it-IT"/>
        </w:rPr>
      </w:pPr>
      <w:r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1. </w:t>
      </w:r>
      <w:r w:rsidR="00DA5B81"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Veronica Verona (Fondatrice de L’Accademia dello Showroom e Dirett</w:t>
      </w:r>
      <w:r w:rsidR="008F02C7"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ore </w:t>
      </w:r>
      <w:r w:rsidR="00DA5B81"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Commerciale e Marketing di Kimo </w:t>
      </w:r>
      <w:r w:rsidR="008F02C7"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S</w:t>
      </w:r>
      <w:r w:rsidR="00DA5B81"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.r.l.)</w:t>
      </w:r>
    </w:p>
    <w:sectPr w:rsidR="00E14122" w:rsidRPr="00B67148" w:rsidSect="004F1562">
      <w:headerReference w:type="default" r:id="rId8"/>
      <w:footerReference w:type="default" r:id="rId9"/>
      <w:pgSz w:w="11906" w:h="16838"/>
      <w:pgMar w:top="1134" w:right="707" w:bottom="1071" w:left="708" w:header="329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589B" w14:textId="77777777" w:rsidR="00515CD4" w:rsidRDefault="00515CD4">
      <w:r>
        <w:separator/>
      </w:r>
    </w:p>
  </w:endnote>
  <w:endnote w:type="continuationSeparator" w:id="0">
    <w:p w14:paraId="6BDCC273" w14:textId="77777777" w:rsidR="00515CD4" w:rsidRDefault="0051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NeueHaasGroteskDisp Std">
    <w:altName w:val="Cambria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316" w14:textId="77777777" w:rsidR="009E1899" w:rsidRDefault="00000000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Avenir Book" w:eastAsia="Avenir Book" w:hAnsi="Avenir Book" w:cs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>L’Accademia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5A19" w14:textId="77777777" w:rsidR="00515CD4" w:rsidRDefault="00515CD4">
      <w:r>
        <w:separator/>
      </w:r>
    </w:p>
  </w:footnote>
  <w:footnote w:type="continuationSeparator" w:id="0">
    <w:p w14:paraId="3FD2A05A" w14:textId="77777777" w:rsidR="00515CD4" w:rsidRDefault="0051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3FDF" w14:textId="23F552BE" w:rsidR="009E1899" w:rsidRDefault="00973E76" w:rsidP="00222EF6">
    <w:pPr>
      <w:pStyle w:val="Intestazioneepidipagina"/>
      <w:tabs>
        <w:tab w:val="clear" w:pos="9020"/>
        <w:tab w:val="center" w:pos="4819"/>
        <w:tab w:val="right" w:pos="9638"/>
      </w:tabs>
      <w:spacing w:after="80"/>
    </w:pP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eastAsia="Helvetica Neue" w:cs="Helvetica Neue"/>
        <w:noProof/>
        <w:u w:color="000000"/>
      </w:rPr>
      <w:drawing>
        <wp:inline distT="0" distB="0" distL="0" distR="0" wp14:anchorId="5520957F" wp14:editId="66F8CB7B">
          <wp:extent cx="1684866" cy="614469"/>
          <wp:effectExtent l="0" t="0" r="4445" b="0"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8" b="29212"/>
                  <a:stretch>
                    <a:fillRect/>
                  </a:stretch>
                </pic:blipFill>
                <pic:spPr>
                  <a:xfrm>
                    <a:off x="0" y="0"/>
                    <a:ext cx="1711012" cy="6240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E6"/>
    <w:multiLevelType w:val="multilevel"/>
    <w:tmpl w:val="07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250D"/>
    <w:multiLevelType w:val="hybridMultilevel"/>
    <w:tmpl w:val="8F309F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6250"/>
    <w:multiLevelType w:val="multilevel"/>
    <w:tmpl w:val="D9B81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E625A1"/>
    <w:multiLevelType w:val="hybridMultilevel"/>
    <w:tmpl w:val="94004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6056">
    <w:abstractNumId w:val="2"/>
  </w:num>
  <w:num w:numId="2" w16cid:durableId="1238369711">
    <w:abstractNumId w:val="3"/>
  </w:num>
  <w:num w:numId="3" w16cid:durableId="1577397226">
    <w:abstractNumId w:val="0"/>
  </w:num>
  <w:num w:numId="4" w16cid:durableId="137175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99"/>
    <w:rsid w:val="00022F3B"/>
    <w:rsid w:val="0004507C"/>
    <w:rsid w:val="000514B0"/>
    <w:rsid w:val="00053D37"/>
    <w:rsid w:val="00097B1A"/>
    <w:rsid w:val="000B73DF"/>
    <w:rsid w:val="000E2694"/>
    <w:rsid w:val="001E60E3"/>
    <w:rsid w:val="001F0E2B"/>
    <w:rsid w:val="001F310D"/>
    <w:rsid w:val="002133E4"/>
    <w:rsid w:val="00213FC1"/>
    <w:rsid w:val="00222EF6"/>
    <w:rsid w:val="00243DE2"/>
    <w:rsid w:val="00255F12"/>
    <w:rsid w:val="00256EA7"/>
    <w:rsid w:val="00261B11"/>
    <w:rsid w:val="00264C26"/>
    <w:rsid w:val="002831F1"/>
    <w:rsid w:val="002A0F74"/>
    <w:rsid w:val="002B76E3"/>
    <w:rsid w:val="00355963"/>
    <w:rsid w:val="003E3192"/>
    <w:rsid w:val="00426526"/>
    <w:rsid w:val="004F0C0C"/>
    <w:rsid w:val="004F1562"/>
    <w:rsid w:val="004F2750"/>
    <w:rsid w:val="00515CD4"/>
    <w:rsid w:val="00520E2A"/>
    <w:rsid w:val="005467E2"/>
    <w:rsid w:val="00576A4B"/>
    <w:rsid w:val="005E1F00"/>
    <w:rsid w:val="005F554A"/>
    <w:rsid w:val="00624D90"/>
    <w:rsid w:val="00640DB7"/>
    <w:rsid w:val="00692F7F"/>
    <w:rsid w:val="006A559E"/>
    <w:rsid w:val="00705CE5"/>
    <w:rsid w:val="00742EDF"/>
    <w:rsid w:val="00755F2A"/>
    <w:rsid w:val="00801327"/>
    <w:rsid w:val="00807152"/>
    <w:rsid w:val="008560F8"/>
    <w:rsid w:val="00863411"/>
    <w:rsid w:val="00877C2C"/>
    <w:rsid w:val="008B54B0"/>
    <w:rsid w:val="008E3796"/>
    <w:rsid w:val="008F02C7"/>
    <w:rsid w:val="00926F9A"/>
    <w:rsid w:val="009460EC"/>
    <w:rsid w:val="00973E76"/>
    <w:rsid w:val="009A48E7"/>
    <w:rsid w:val="009E1899"/>
    <w:rsid w:val="00A34603"/>
    <w:rsid w:val="00AE06D6"/>
    <w:rsid w:val="00B259F2"/>
    <w:rsid w:val="00B35B5B"/>
    <w:rsid w:val="00B51943"/>
    <w:rsid w:val="00B54F9B"/>
    <w:rsid w:val="00B67148"/>
    <w:rsid w:val="00B80DEB"/>
    <w:rsid w:val="00BE0CBA"/>
    <w:rsid w:val="00C60B55"/>
    <w:rsid w:val="00C63BF9"/>
    <w:rsid w:val="00C66FE2"/>
    <w:rsid w:val="00C67455"/>
    <w:rsid w:val="00CB677E"/>
    <w:rsid w:val="00D05BC4"/>
    <w:rsid w:val="00D841CC"/>
    <w:rsid w:val="00D8500B"/>
    <w:rsid w:val="00D944DB"/>
    <w:rsid w:val="00DA042B"/>
    <w:rsid w:val="00DA5B81"/>
    <w:rsid w:val="00DC0D2A"/>
    <w:rsid w:val="00E04C6A"/>
    <w:rsid w:val="00E14122"/>
    <w:rsid w:val="00E45B35"/>
    <w:rsid w:val="00E47064"/>
    <w:rsid w:val="00EF7548"/>
    <w:rsid w:val="00F11356"/>
    <w:rsid w:val="00F20096"/>
    <w:rsid w:val="00F60222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3D4B"/>
  <w15:docId w15:val="{78709B7C-6AD7-9647-A39F-3FE2FEC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EF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EF6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5CE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56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B76E3"/>
    <w:rPr>
      <w:b/>
      <w:bCs/>
    </w:rPr>
  </w:style>
  <w:style w:type="character" w:styleId="Enfasicorsivo">
    <w:name w:val="Emphasis"/>
    <w:basedOn w:val="Carpredefinitoparagrafo"/>
    <w:uiPriority w:val="20"/>
    <w:qFormat/>
    <w:rsid w:val="001F310D"/>
    <w:rPr>
      <w:i/>
      <w:iCs/>
    </w:rPr>
  </w:style>
  <w:style w:type="paragraph" w:styleId="Revisione">
    <w:name w:val="Revision"/>
    <w:hidden/>
    <w:uiPriority w:val="99"/>
    <w:semiHidden/>
    <w:rsid w:val="00264C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64C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4C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4C26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4C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4C2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3</cp:revision>
  <dcterms:created xsi:type="dcterms:W3CDTF">2026-05-07T07:32:00Z</dcterms:created>
  <dcterms:modified xsi:type="dcterms:W3CDTF">2026-06-17T08:25:00Z</dcterms:modified>
</cp:coreProperties>
</file>