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B6F3" w14:textId="77777777" w:rsidR="00EF7548" w:rsidRPr="001F310D" w:rsidRDefault="00EF7548" w:rsidP="009A48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beforeAutospacing="1" w:after="100" w:afterAutospacing="1"/>
        <w:contextualSpacing/>
        <w:jc w:val="both"/>
        <w:rPr>
          <w:rFonts w:ascii="Barlow" w:hAnsi="Barlow"/>
          <w:b/>
          <w:bCs/>
          <w:lang w:val="it-IT"/>
        </w:rPr>
      </w:pPr>
    </w:p>
    <w:p w14:paraId="2967F8B1" w14:textId="65AC1D24" w:rsidR="00222EF6" w:rsidRDefault="00222EF6" w:rsidP="009A48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beforeAutospacing="1" w:after="100" w:afterAutospacing="1"/>
        <w:contextualSpacing/>
        <w:jc w:val="both"/>
        <w:rPr>
          <w:rFonts w:ascii="Barlow" w:hAnsi="Barlow"/>
          <w:b/>
          <w:bCs/>
          <w:sz w:val="20"/>
          <w:szCs w:val="20"/>
          <w:lang w:val="it-IT"/>
        </w:rPr>
      </w:pPr>
      <w:r w:rsidRPr="000D7A48">
        <w:rPr>
          <w:rFonts w:ascii="Barlow" w:hAnsi="Barlow"/>
          <w:b/>
          <w:bCs/>
          <w:sz w:val="20"/>
          <w:szCs w:val="20"/>
          <w:lang w:val="it-IT"/>
        </w:rPr>
        <w:t xml:space="preserve">Comunicato stampa | </w:t>
      </w:r>
      <w:proofErr w:type="gramStart"/>
      <w:r w:rsidR="00B67148" w:rsidRPr="000D7A48">
        <w:rPr>
          <w:rFonts w:ascii="Barlow" w:hAnsi="Barlow"/>
          <w:b/>
          <w:bCs/>
          <w:sz w:val="20"/>
          <w:szCs w:val="20"/>
          <w:lang w:val="it-IT"/>
        </w:rPr>
        <w:t>Giugno</w:t>
      </w:r>
      <w:proofErr w:type="gramEnd"/>
      <w:r w:rsidR="002133E4" w:rsidRPr="000D7A48">
        <w:rPr>
          <w:rFonts w:ascii="Barlow" w:hAnsi="Barlow"/>
          <w:b/>
          <w:bCs/>
          <w:sz w:val="20"/>
          <w:szCs w:val="20"/>
          <w:lang w:val="it-IT"/>
        </w:rPr>
        <w:t xml:space="preserve"> </w:t>
      </w:r>
      <w:r w:rsidR="00DA5B81" w:rsidRPr="000D7A48">
        <w:rPr>
          <w:rFonts w:ascii="Barlow" w:hAnsi="Barlow"/>
          <w:b/>
          <w:bCs/>
          <w:sz w:val="20"/>
          <w:szCs w:val="20"/>
          <w:lang w:val="it-IT"/>
        </w:rPr>
        <w:t>2026</w:t>
      </w:r>
      <w:r w:rsidR="0083631B">
        <w:rPr>
          <w:rFonts w:ascii="Barlow" w:hAnsi="Barlow"/>
          <w:b/>
          <w:bCs/>
          <w:sz w:val="20"/>
          <w:szCs w:val="20"/>
          <w:lang w:val="it-IT"/>
        </w:rPr>
        <w:t xml:space="preserve"> | 4° Osservatorio Nazionale Esperienza in Showroom</w:t>
      </w:r>
    </w:p>
    <w:p w14:paraId="104DCBC4" w14:textId="77777777" w:rsidR="0083631B" w:rsidRPr="000D7A48" w:rsidRDefault="0083631B" w:rsidP="009A48E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beforeAutospacing="1" w:after="100" w:afterAutospacing="1"/>
        <w:contextualSpacing/>
        <w:jc w:val="both"/>
        <w:rPr>
          <w:rFonts w:ascii="Barlow" w:hAnsi="Barlow"/>
          <w:b/>
          <w:bCs/>
          <w:sz w:val="20"/>
          <w:szCs w:val="20"/>
          <w:lang w:val="it-IT"/>
        </w:rPr>
      </w:pPr>
    </w:p>
    <w:p w14:paraId="7B7DD3A5" w14:textId="77777777" w:rsidR="000D7A48" w:rsidRPr="000D7A48" w:rsidRDefault="000D7A48" w:rsidP="000D7A48">
      <w:pPr>
        <w:spacing w:before="100" w:beforeAutospacing="1" w:after="100" w:afterAutospacing="1"/>
        <w:contextualSpacing/>
        <w:jc w:val="both"/>
        <w:rPr>
          <w:rFonts w:ascii="Barlow" w:eastAsia="Times New Roman" w:hAnsi="Barlow" w:cs="Arial"/>
          <w:b/>
          <w:bCs/>
          <w:color w:val="1F1F1F"/>
          <w:sz w:val="28"/>
          <w:szCs w:val="28"/>
          <w:bdr w:val="none" w:sz="0" w:space="0" w:color="auto" w:frame="1"/>
          <w:lang w:val="it-IT" w:eastAsia="it-IT"/>
        </w:rPr>
      </w:pPr>
      <w:r w:rsidRPr="000D7A48">
        <w:rPr>
          <w:rFonts w:ascii="Barlow" w:eastAsia="Times New Roman" w:hAnsi="Barlow" w:cs="Arial"/>
          <w:b/>
          <w:bCs/>
          <w:color w:val="1F1F1F"/>
          <w:sz w:val="28"/>
          <w:szCs w:val="28"/>
          <w:bdr w:val="none" w:sz="0" w:space="0" w:color="auto" w:frame="1"/>
          <w:lang w:val="it-IT" w:eastAsia="it-IT"/>
        </w:rPr>
        <w:t>L’Accademia dello Showroom presenta l’Osservatorio Nazionale 2026.</w:t>
      </w:r>
    </w:p>
    <w:p w14:paraId="252D5801" w14:textId="77777777" w:rsidR="000D7A48" w:rsidRPr="000D7A48" w:rsidRDefault="000D7A48" w:rsidP="000D7A48">
      <w:pPr>
        <w:spacing w:before="100" w:beforeAutospacing="1" w:after="100" w:afterAutospacing="1"/>
        <w:contextualSpacing/>
        <w:jc w:val="both"/>
        <w:rPr>
          <w:rFonts w:ascii="Barlow" w:eastAsia="Times New Roman" w:hAnsi="Barlow" w:cs="Arial"/>
          <w:b/>
          <w:bCs/>
          <w:color w:val="1F1F1F"/>
          <w:sz w:val="28"/>
          <w:szCs w:val="28"/>
          <w:bdr w:val="none" w:sz="0" w:space="0" w:color="auto" w:frame="1"/>
          <w:lang w:val="it-IT" w:eastAsia="it-IT"/>
        </w:rPr>
      </w:pPr>
      <w:r w:rsidRPr="000D7A48">
        <w:rPr>
          <w:rFonts w:ascii="Barlow" w:eastAsia="Times New Roman" w:hAnsi="Barlow" w:cs="Arial"/>
          <w:b/>
          <w:bCs/>
          <w:color w:val="1F1F1F"/>
          <w:sz w:val="28"/>
          <w:szCs w:val="28"/>
          <w:bdr w:val="none" w:sz="0" w:space="0" w:color="auto" w:frame="1"/>
          <w:lang w:val="it-IT" w:eastAsia="it-IT"/>
        </w:rPr>
        <w:t>I punti vendita e la crisi di qualità dell'esperienza offerta</w:t>
      </w:r>
    </w:p>
    <w:p w14:paraId="5795E9F7"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bdr w:val="none" w:sz="0" w:space="0" w:color="auto" w:frame="1"/>
          <w:lang w:val="it-IT" w:eastAsia="it-IT"/>
        </w:rPr>
      </w:pPr>
    </w:p>
    <w:p w14:paraId="2D3D8D23"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bdr w:val="none" w:sz="0" w:space="0" w:color="auto" w:frame="1"/>
          <w:lang w:val="it-IT" w:eastAsia="it-IT"/>
        </w:rPr>
      </w:pPr>
      <w:r w:rsidRPr="000D7A48">
        <w:rPr>
          <w:rFonts w:ascii="Barlow" w:eastAsia="Times New Roman" w:hAnsi="Barlow" w:cs="Arial"/>
          <w:color w:val="1F1F1F"/>
          <w:bdr w:val="none" w:sz="0" w:space="0" w:color="auto" w:frame="1"/>
          <w:lang w:val="it-IT" w:eastAsia="it-IT"/>
        </w:rPr>
        <w:t xml:space="preserve">Si è tenuta lo scorso 14 luglio, presso lo Spazio Carroccio6 a Milano, la presentazione della quarta edizione </w:t>
      </w:r>
      <w:r w:rsidRPr="000D7A48">
        <w:rPr>
          <w:rFonts w:ascii="Barlow" w:eastAsia="Times New Roman" w:hAnsi="Barlow" w:cs="Arial"/>
          <w:b/>
          <w:bCs/>
          <w:color w:val="1F1F1F"/>
          <w:bdr w:val="none" w:sz="0" w:space="0" w:color="auto" w:frame="1"/>
          <w:lang w:val="it-IT" w:eastAsia="it-IT"/>
        </w:rPr>
        <w:t>dell’Osservatorio Nazionale sull’Esperienza in Showroom,</w:t>
      </w:r>
      <w:r w:rsidRPr="000D7A48">
        <w:rPr>
          <w:rFonts w:ascii="Barlow" w:eastAsia="Times New Roman" w:hAnsi="Barlow" w:cs="Arial"/>
          <w:color w:val="1F1F1F"/>
          <w:bdr w:val="none" w:sz="0" w:space="0" w:color="auto" w:frame="1"/>
          <w:lang w:val="it-IT" w:eastAsia="it-IT"/>
        </w:rPr>
        <w:t xml:space="preserve"> uno degli strumenti di analisi più attesi dagli operatori del mercato, realizzato da </w:t>
      </w:r>
      <w:r w:rsidRPr="000D7A48">
        <w:rPr>
          <w:rFonts w:ascii="Barlow" w:eastAsia="Times New Roman" w:hAnsi="Barlow" w:cs="Arial"/>
          <w:b/>
          <w:bCs/>
          <w:color w:val="1F1F1F"/>
          <w:bdr w:val="none" w:sz="0" w:space="0" w:color="auto" w:frame="1"/>
          <w:lang w:val="it-IT" w:eastAsia="it-IT"/>
        </w:rPr>
        <w:t>L'Accademia dello Showroom</w:t>
      </w:r>
      <w:r w:rsidRPr="000D7A48">
        <w:rPr>
          <w:rFonts w:ascii="Barlow" w:eastAsia="Times New Roman" w:hAnsi="Barlow" w:cs="Arial"/>
          <w:color w:val="1F1F1F"/>
          <w:bdr w:val="none" w:sz="0" w:space="0" w:color="auto" w:frame="1"/>
          <w:lang w:val="it-IT" w:eastAsia="it-IT"/>
        </w:rPr>
        <w:t xml:space="preserve">. </w:t>
      </w:r>
    </w:p>
    <w:p w14:paraId="2D5C3A7A"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bdr w:val="none" w:sz="0" w:space="0" w:color="auto" w:frame="1"/>
          <w:lang w:val="it-IT" w:eastAsia="it-IT"/>
        </w:rPr>
      </w:pPr>
    </w:p>
    <w:p w14:paraId="463C2E17"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bdr w:val="none" w:sz="0" w:space="0" w:color="auto" w:frame="1"/>
          <w:lang w:val="it-IT" w:eastAsia="it-IT"/>
        </w:rPr>
      </w:pPr>
      <w:r w:rsidRPr="000D7A48">
        <w:rPr>
          <w:rFonts w:ascii="Barlow" w:eastAsia="Times New Roman" w:hAnsi="Barlow" w:cs="Arial"/>
          <w:color w:val="1F1F1F"/>
          <w:bdr w:val="none" w:sz="0" w:space="0" w:color="auto" w:frame="1"/>
          <w:lang w:val="it-IT" w:eastAsia="it-IT"/>
        </w:rPr>
        <w:t xml:space="preserve">Nell’occasione </w:t>
      </w:r>
      <w:r w:rsidRPr="000D7A48">
        <w:rPr>
          <w:rFonts w:ascii="Barlow" w:eastAsia="Times New Roman" w:hAnsi="Barlow" w:cs="Arial"/>
          <w:b/>
          <w:bCs/>
          <w:color w:val="1F1F1F"/>
          <w:bdr w:val="none" w:sz="0" w:space="0" w:color="auto" w:frame="1"/>
          <w:lang w:val="it-IT" w:eastAsia="it-IT"/>
        </w:rPr>
        <w:t>Veronica Verona</w:t>
      </w:r>
      <w:r w:rsidRPr="000D7A48">
        <w:rPr>
          <w:rFonts w:ascii="Barlow" w:eastAsia="Times New Roman" w:hAnsi="Barlow" w:cs="Arial"/>
          <w:color w:val="1F1F1F"/>
          <w:bdr w:val="none" w:sz="0" w:space="0" w:color="auto" w:frame="1"/>
          <w:lang w:val="it-IT" w:eastAsia="it-IT"/>
        </w:rPr>
        <w:t xml:space="preserve"> – </w:t>
      </w:r>
      <w:r w:rsidRPr="000D7A48">
        <w:rPr>
          <w:rFonts w:ascii="Barlow" w:eastAsia="Times New Roman" w:hAnsi="Barlow" w:cs="Arial"/>
          <w:b/>
          <w:bCs/>
          <w:color w:val="1F1F1F"/>
          <w:bdr w:val="none" w:sz="0" w:space="0" w:color="auto" w:frame="1"/>
          <w:lang w:val="it-IT" w:eastAsia="it-IT"/>
        </w:rPr>
        <w:t>Fondatrice e Direttore de L’Accademia dello Showroom</w:t>
      </w:r>
      <w:r w:rsidRPr="000D7A48">
        <w:rPr>
          <w:rFonts w:ascii="Barlow" w:eastAsia="Times New Roman" w:hAnsi="Barlow" w:cs="Arial"/>
          <w:color w:val="1F1F1F"/>
          <w:bdr w:val="none" w:sz="0" w:space="0" w:color="auto" w:frame="1"/>
          <w:lang w:val="it-IT" w:eastAsia="it-IT"/>
        </w:rPr>
        <w:t xml:space="preserve"> – ha presentato a una platea composta dai rappresentanti delle più rappresentative Associazioni di categoria e dalle più frequentate manifestazioni fieristiche del comparto arredobagno e finiture (Angaisa, Assobagno, </w:t>
      </w:r>
      <w:proofErr w:type="spellStart"/>
      <w:r w:rsidRPr="000D7A48">
        <w:rPr>
          <w:rFonts w:ascii="Barlow" w:eastAsia="Times New Roman" w:hAnsi="Barlow" w:cs="Arial"/>
          <w:color w:val="1F1F1F"/>
          <w:bdr w:val="none" w:sz="0" w:space="0" w:color="auto" w:frame="1"/>
          <w:lang w:val="it-IT" w:eastAsia="it-IT"/>
        </w:rPr>
        <w:t>Sercomated</w:t>
      </w:r>
      <w:proofErr w:type="spellEnd"/>
      <w:r w:rsidRPr="000D7A48">
        <w:rPr>
          <w:rFonts w:ascii="Barlow" w:eastAsia="Times New Roman" w:hAnsi="Barlow" w:cs="Arial"/>
          <w:color w:val="1F1F1F"/>
          <w:bdr w:val="none" w:sz="0" w:space="0" w:color="auto" w:frame="1"/>
          <w:lang w:val="it-IT" w:eastAsia="it-IT"/>
        </w:rPr>
        <w:t>, Confindustria Ceramica, Cersaie, Salone del Mobile, MCE – Mostra Convegno Expocomfort e Messe Frankfurt e altri), i dettagli di un’analisi sulla qualità reale  dell’esperienza d'acquisto realizzata con la metodologia del Mystery Shopping su 150 punti vendita in tutta Italia.</w:t>
      </w:r>
    </w:p>
    <w:p w14:paraId="0DC1050C"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p>
    <w:p w14:paraId="40EB44EC"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bdr w:val="none" w:sz="0" w:space="0" w:color="auto" w:frame="1"/>
          <w:lang w:val="it-IT" w:eastAsia="it-IT"/>
        </w:rPr>
      </w:pPr>
      <w:r w:rsidRPr="000D7A48">
        <w:rPr>
          <w:rFonts w:ascii="Barlow" w:eastAsia="Times New Roman" w:hAnsi="Barlow" w:cs="Arial"/>
          <w:color w:val="1F1F1F"/>
          <w:bdr w:val="none" w:sz="0" w:space="0" w:color="auto" w:frame="1"/>
          <w:lang w:val="it-IT" w:eastAsia="it-IT"/>
        </w:rPr>
        <w:t>Tra le informazioni elaborate per l'edizione 2026 emerge come i punti vendita fisici dei settori della finitura per l'edilizia, dell’arredobagno, del lighting e del comfort abitativo non siano assolutamente in crisi strutturale (il 90% degli acquisti avviene ancora in negozio fisico), ma, piuttosto, emerge che il tasso di conversione dei preventivi in ordine rischia di essere viziato da una distorsione percettiva.</w:t>
      </w:r>
    </w:p>
    <w:p w14:paraId="1CBFE7FB"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p>
    <w:p w14:paraId="09333E49"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r w:rsidRPr="000D7A48">
        <w:rPr>
          <w:rFonts w:ascii="Barlow" w:eastAsia="Times New Roman" w:hAnsi="Barlow" w:cs="Arial"/>
          <w:color w:val="1F1F1F"/>
          <w:lang w:val="it-IT" w:eastAsia="it-IT"/>
        </w:rPr>
        <w:t xml:space="preserve">Tuttavia, dai dati presentati emerge un </w:t>
      </w:r>
      <w:r w:rsidRPr="000D7A48">
        <w:rPr>
          <w:rFonts w:ascii="Barlow" w:hAnsi="Barlow"/>
          <w:lang w:val="it-IT"/>
        </w:rPr>
        <w:t>paradosso relativo al tasso di conversione</w:t>
      </w:r>
      <w:r w:rsidRPr="000D7A48">
        <w:rPr>
          <w:rFonts w:ascii="Barlow" w:eastAsia="Times New Roman" w:hAnsi="Barlow" w:cs="Arial"/>
          <w:color w:val="1F1F1F"/>
          <w:lang w:val="it-IT" w:eastAsia="it-IT"/>
        </w:rPr>
        <w:t xml:space="preserve"> che vede la crescita dell’efficienza come un “segnale di allarme” anziché di successo, rendendo più che mai necessario lo spostamento del focus dalla pura statistica, alla necessità di un cambio di mentalità strategica.</w:t>
      </w:r>
    </w:p>
    <w:p w14:paraId="0DE92F8B"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p>
    <w:p w14:paraId="45D1A3BD" w14:textId="77777777" w:rsidR="000D7A48" w:rsidRPr="000D7A48" w:rsidRDefault="000D7A48" w:rsidP="000D7A48">
      <w:pPr>
        <w:spacing w:before="100" w:beforeAutospacing="1" w:after="100" w:afterAutospacing="1"/>
        <w:contextualSpacing/>
        <w:jc w:val="both"/>
        <w:rPr>
          <w:rFonts w:ascii="Barlow" w:eastAsia="Times New Roman" w:hAnsi="Barlow" w:cs="Arial"/>
          <w:i/>
          <w:iCs/>
          <w:color w:val="1F1F1F"/>
          <w:bdr w:val="none" w:sz="0" w:space="0" w:color="auto" w:frame="1"/>
          <w:lang w:val="it-IT" w:eastAsia="it-IT"/>
        </w:rPr>
      </w:pPr>
      <w:r w:rsidRPr="000D7A48">
        <w:rPr>
          <w:rFonts w:ascii="Barlow" w:hAnsi="Barlow"/>
          <w:i/>
          <w:iCs/>
          <w:color w:val="000000"/>
          <w:lang w:val="it-IT"/>
        </w:rPr>
        <w:t xml:space="preserve">"Quest’anno l’Osservatorio permette di mettere a confronto ciò che il venditore crede di fare con ciò che il cliente realmente sperimenta” </w:t>
      </w:r>
      <w:r w:rsidRPr="000D7A48">
        <w:rPr>
          <w:rFonts w:ascii="Barlow" w:hAnsi="Barlow"/>
          <w:color w:val="000000"/>
          <w:lang w:val="it-IT"/>
        </w:rPr>
        <w:t xml:space="preserve">- commenta </w:t>
      </w:r>
      <w:r w:rsidRPr="000D7A48">
        <w:rPr>
          <w:rFonts w:ascii="Barlow" w:eastAsia="Times New Roman" w:hAnsi="Barlow" w:cs="Arial"/>
          <w:b/>
          <w:bCs/>
          <w:color w:val="1F1F1F"/>
          <w:lang w:val="it-IT" w:eastAsia="it-IT"/>
        </w:rPr>
        <w:t>Veronica Verona</w:t>
      </w:r>
      <w:r w:rsidRPr="000D7A48">
        <w:rPr>
          <w:rFonts w:ascii="Barlow" w:hAnsi="Barlow"/>
          <w:color w:val="000000"/>
          <w:lang w:val="it-IT"/>
        </w:rPr>
        <w:t xml:space="preserve"> –</w:t>
      </w:r>
      <w:r w:rsidRPr="000D7A48">
        <w:rPr>
          <w:rFonts w:ascii="Barlow" w:hAnsi="Barlow"/>
          <w:i/>
          <w:iCs/>
          <w:color w:val="000000"/>
          <w:lang w:val="it-IT"/>
        </w:rPr>
        <w:t xml:space="preserve"> “Ne emerge, con una chiarezza che talvolta sorprende, come dietro la convinzione sincera di fare del proprio meglio si celino abitudini consolidate, vizi di processo e automatismi comunicativi che producono spesso inconsapevolmente un risultato opposto a quello desiderato. È evidente quindi la necessità di lavorare all’esperienza di acquisto con la stessa attenzione che si mette nella realizzazione degli spazi espositivi”.</w:t>
      </w:r>
    </w:p>
    <w:p w14:paraId="16836500" w14:textId="77777777" w:rsidR="000D7A48" w:rsidRPr="000D7A48" w:rsidRDefault="000D7A48" w:rsidP="000D7A48">
      <w:pPr>
        <w:spacing w:before="100" w:beforeAutospacing="1" w:after="100" w:afterAutospacing="1"/>
        <w:contextualSpacing/>
        <w:jc w:val="both"/>
        <w:rPr>
          <w:rFonts w:ascii="Barlow" w:eastAsia="Times New Roman" w:hAnsi="Barlow" w:cs="Arial"/>
          <w:i/>
          <w:iCs/>
          <w:color w:val="1F1F1F"/>
          <w:bdr w:val="none" w:sz="0" w:space="0" w:color="auto" w:frame="1"/>
          <w:lang w:val="it-IT" w:eastAsia="it-IT"/>
        </w:rPr>
      </w:pPr>
    </w:p>
    <w:p w14:paraId="49C67496"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r w:rsidRPr="000D7A48">
        <w:rPr>
          <w:rFonts w:ascii="Barlow" w:eastAsia="Times New Roman" w:hAnsi="Barlow" w:cs="Arial"/>
          <w:color w:val="1F1F1F"/>
          <w:bdr w:val="none" w:sz="0" w:space="0" w:color="auto" w:frame="1"/>
          <w:lang w:val="it-IT" w:eastAsia="it-IT"/>
        </w:rPr>
        <w:t>I dati presenti nell’</w:t>
      </w:r>
      <w:r w:rsidRPr="000D7A48">
        <w:rPr>
          <w:rFonts w:ascii="Barlow" w:eastAsia="Times New Roman" w:hAnsi="Barlow" w:cs="Arial"/>
          <w:b/>
          <w:bCs/>
          <w:color w:val="1F1F1F"/>
          <w:bdr w:val="none" w:sz="0" w:space="0" w:color="auto" w:frame="1"/>
          <w:lang w:val="it-IT" w:eastAsia="it-IT"/>
        </w:rPr>
        <w:t>Osservatorio Nazionale sull’Esperienza in Showroom 2026</w:t>
      </w:r>
      <w:r w:rsidRPr="000D7A48">
        <w:rPr>
          <w:rFonts w:ascii="Barlow" w:eastAsia="Times New Roman" w:hAnsi="Barlow" w:cs="Arial"/>
          <w:color w:val="1F1F1F"/>
          <w:bdr w:val="none" w:sz="0" w:space="0" w:color="auto" w:frame="1"/>
          <w:lang w:val="it-IT" w:eastAsia="it-IT"/>
        </w:rPr>
        <w:t xml:space="preserve"> confermano come elementi cardine, come la gestione dell’accoglienza, la qualità dell’indagine dei bisogni e la strutturazione del follow-up, siano ancora ambiti largamente inespressi: basti pensare che nel 38% dei casi il cliente resta in attesa senza che nessuno si accorga della sua presenza e che, nel 98% dei casi, il venditore non chiede mai il budget di spesa al cliente, limitando di fatto al caso la propria capacità di offrire soluzioni pertinenti.</w:t>
      </w:r>
      <w:r w:rsidRPr="000D7A48">
        <w:rPr>
          <w:rFonts w:ascii="Barlow" w:eastAsia="Times New Roman" w:hAnsi="Barlow" w:cs="Arial"/>
          <w:color w:val="1F1F1F"/>
          <w:lang w:val="it-IT" w:eastAsia="it-IT"/>
        </w:rPr>
        <w:t xml:space="preserve"> </w:t>
      </w:r>
    </w:p>
    <w:p w14:paraId="5D737230"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p>
    <w:p w14:paraId="415B47A9" w14:textId="77777777" w:rsid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r w:rsidRPr="000D7A48">
        <w:rPr>
          <w:rFonts w:ascii="Barlow" w:eastAsia="Times New Roman" w:hAnsi="Barlow" w:cs="Arial"/>
          <w:color w:val="1F1F1F"/>
          <w:lang w:val="it-IT" w:eastAsia="it-IT"/>
        </w:rPr>
        <w:t>Con la quarta edizione dell’</w:t>
      </w:r>
      <w:r w:rsidRPr="000D7A48">
        <w:rPr>
          <w:rFonts w:ascii="Barlow" w:eastAsia="Times New Roman" w:hAnsi="Barlow" w:cs="Arial"/>
          <w:b/>
          <w:bCs/>
          <w:color w:val="1F1F1F"/>
          <w:bdr w:val="none" w:sz="0" w:space="0" w:color="auto" w:frame="1"/>
          <w:lang w:val="it-IT" w:eastAsia="it-IT"/>
        </w:rPr>
        <w:t xml:space="preserve"> Osservatorio Nazionale sull’Esperienza in Showroom 2026</w:t>
      </w:r>
      <w:r w:rsidRPr="000D7A48">
        <w:rPr>
          <w:rFonts w:ascii="Barlow" w:eastAsia="Times New Roman" w:hAnsi="Barlow" w:cs="Arial"/>
          <w:color w:val="1F1F1F"/>
          <w:bdr w:val="none" w:sz="0" w:space="0" w:color="auto" w:frame="1"/>
          <w:lang w:val="it-IT" w:eastAsia="it-IT"/>
        </w:rPr>
        <w:t xml:space="preserve">, frutto di oltre 15 anni </w:t>
      </w:r>
      <w:r w:rsidRPr="000D7A48">
        <w:rPr>
          <w:rFonts w:ascii="Barlow" w:hAnsi="Barlow"/>
          <w:lang w:val="it-IT"/>
        </w:rPr>
        <w:t xml:space="preserve">di esperienza specifica, con oltre 450 showroom formati e più di 29.000 ore di attività didattica sul campo </w:t>
      </w:r>
      <w:r w:rsidRPr="000D7A48">
        <w:rPr>
          <w:rFonts w:ascii="Barlow" w:hAnsi="Barlow"/>
          <w:b/>
          <w:bCs/>
          <w:lang w:val="it-IT"/>
        </w:rPr>
        <w:t>L'Accademia dello Showroom</w:t>
      </w:r>
      <w:r w:rsidRPr="000D7A48">
        <w:rPr>
          <w:rFonts w:ascii="Barlow" w:hAnsi="Barlow"/>
          <w:lang w:val="it-IT"/>
        </w:rPr>
        <w:t xml:space="preserve"> si conferma un punto di riferimento unico in Italia per la consulenza strategica dedicata ai comparti delle finiture per l'edilizia, dell’arredo bagno, del lighting e del comfort abitativo, definendo gli standard di eccellenza per l'intera filiera.</w:t>
      </w:r>
    </w:p>
    <w:p w14:paraId="50617FD6" w14:textId="77777777" w:rsid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p>
    <w:p w14:paraId="016370BD" w14:textId="77777777" w:rsid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p>
    <w:p w14:paraId="2C4B390C" w14:textId="77777777" w:rsid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p>
    <w:p w14:paraId="339DD9D9" w14:textId="77777777" w:rsidR="0083631B" w:rsidRDefault="0083631B" w:rsidP="000D7A48">
      <w:pPr>
        <w:spacing w:before="100" w:beforeAutospacing="1" w:after="100" w:afterAutospacing="1"/>
        <w:contextualSpacing/>
        <w:jc w:val="both"/>
        <w:rPr>
          <w:rFonts w:ascii="Barlow" w:eastAsia="Times New Roman" w:hAnsi="Barlow" w:cs="Arial"/>
          <w:color w:val="1F1F1F"/>
          <w:lang w:val="it-IT" w:eastAsia="it-IT"/>
        </w:rPr>
      </w:pPr>
    </w:p>
    <w:p w14:paraId="5BA55971" w14:textId="234BC181"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r w:rsidRPr="000D7A48">
        <w:rPr>
          <w:rFonts w:ascii="Barlow" w:eastAsia="Times New Roman" w:hAnsi="Barlow" w:cs="Arial"/>
          <w:b/>
          <w:bCs/>
          <w:color w:val="1F1F1F"/>
          <w:lang w:eastAsia="it-IT"/>
        </w:rPr>
        <w:lastRenderedPageBreak/>
        <w:t>Nota di servizio</w:t>
      </w:r>
    </w:p>
    <w:p w14:paraId="71652BD3"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r w:rsidRPr="000D7A48">
        <w:rPr>
          <w:rFonts w:ascii="Barlow" w:eastAsia="Times New Roman" w:hAnsi="Barlow" w:cs="Arial"/>
          <w:color w:val="1F1F1F"/>
          <w:lang w:val="it-IT" w:eastAsia="it-IT"/>
        </w:rPr>
        <w:t xml:space="preserve">Per approfondire i dati dell’Osservatorio 2026 o per richiedere un’intervista con </w:t>
      </w:r>
      <w:r w:rsidRPr="000D7A48">
        <w:rPr>
          <w:rFonts w:ascii="Barlow" w:eastAsia="Times New Roman" w:hAnsi="Barlow" w:cs="Arial"/>
          <w:b/>
          <w:bCs/>
          <w:color w:val="1F1F1F"/>
          <w:lang w:val="it-IT" w:eastAsia="it-IT"/>
        </w:rPr>
        <w:t>Veronica Verona</w:t>
      </w:r>
      <w:r w:rsidRPr="000D7A48">
        <w:rPr>
          <w:rFonts w:ascii="Barlow" w:eastAsia="Times New Roman" w:hAnsi="Barlow" w:cs="Arial"/>
          <w:color w:val="1F1F1F"/>
          <w:lang w:val="it-IT" w:eastAsia="it-IT"/>
        </w:rPr>
        <w:t xml:space="preserve"> vi preghiamo di contattare il nostro ufficio stampa ai seguenti recapiti:</w:t>
      </w:r>
    </w:p>
    <w:p w14:paraId="514F2D72" w14:textId="77777777" w:rsidR="000D7A48" w:rsidRPr="000D7A48" w:rsidRDefault="000D7A48" w:rsidP="000D7A48">
      <w:pPr>
        <w:spacing w:before="100" w:beforeAutospacing="1" w:after="100" w:afterAutospacing="1"/>
        <w:contextualSpacing/>
        <w:jc w:val="both"/>
        <w:rPr>
          <w:rFonts w:ascii="Barlow" w:eastAsia="Times New Roman" w:hAnsi="Barlow" w:cs="Arial"/>
          <w:b/>
          <w:bCs/>
          <w:color w:val="1F1F1F"/>
          <w:lang w:val="it-IT" w:eastAsia="it-IT"/>
        </w:rPr>
      </w:pPr>
    </w:p>
    <w:p w14:paraId="658F488D" w14:textId="77777777"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r w:rsidRPr="000D7A48">
        <w:rPr>
          <w:rFonts w:ascii="Barlow" w:eastAsia="Times New Roman" w:hAnsi="Barlow" w:cs="Arial"/>
          <w:b/>
          <w:bCs/>
          <w:color w:val="1F1F1F"/>
          <w:lang w:val="it-IT" w:eastAsia="it-IT"/>
        </w:rPr>
        <w:t>TAConline</w:t>
      </w:r>
    </w:p>
    <w:p w14:paraId="6930ADAE" w14:textId="4F7E8973" w:rsidR="000D7A48" w:rsidRPr="000D7A48" w:rsidRDefault="000D7A48" w:rsidP="000D7A48">
      <w:pPr>
        <w:spacing w:before="100" w:beforeAutospacing="1" w:after="100" w:afterAutospacing="1"/>
        <w:contextualSpacing/>
        <w:jc w:val="both"/>
        <w:rPr>
          <w:rFonts w:ascii="Barlow" w:eastAsia="Times New Roman" w:hAnsi="Barlow" w:cs="Arial"/>
          <w:color w:val="1F1F1F"/>
          <w:lang w:val="it-IT" w:eastAsia="it-IT"/>
        </w:rPr>
      </w:pPr>
      <w:r w:rsidRPr="000D7A48">
        <w:rPr>
          <w:rFonts w:ascii="Barlow" w:eastAsia="Times New Roman" w:hAnsi="Barlow" w:cs="Arial"/>
          <w:color w:val="1F1F1F"/>
          <w:lang w:val="it-IT" w:eastAsia="it-IT"/>
        </w:rPr>
        <w:t>Andrea Turatti</w:t>
      </w:r>
      <w:r w:rsidRPr="000D7A48">
        <w:rPr>
          <w:rFonts w:ascii="Barlow" w:eastAsia="Times New Roman" w:hAnsi="Barlow" w:cs="Arial"/>
          <w:color w:val="1F1F1F"/>
          <w:lang w:val="it-IT" w:eastAsia="it-IT"/>
        </w:rPr>
        <w:t xml:space="preserve"> - </w:t>
      </w:r>
      <w:r w:rsidRPr="000D7A48">
        <w:rPr>
          <w:rFonts w:ascii="Barlow" w:eastAsia="Times New Roman" w:hAnsi="Barlow" w:cs="Arial"/>
          <w:color w:val="1F1F1F"/>
          <w:lang w:val="it-IT" w:eastAsia="it-IT"/>
        </w:rPr>
        <w:t>@:turattitaconline.it</w:t>
      </w:r>
      <w:r w:rsidRPr="000D7A48">
        <w:rPr>
          <w:rFonts w:ascii="Barlow" w:eastAsia="Times New Roman" w:hAnsi="Barlow" w:cs="Arial"/>
          <w:color w:val="1F1F1F"/>
          <w:lang w:val="it-IT" w:eastAsia="it-IT"/>
        </w:rPr>
        <w:t xml:space="preserve"> </w:t>
      </w:r>
      <w:r w:rsidRPr="000D7A48">
        <w:rPr>
          <w:rFonts w:ascii="Barlow" w:eastAsia="Times New Roman" w:hAnsi="Barlow" w:cs="Arial"/>
          <w:color w:val="1F1F1F"/>
          <w:lang w:val="it-IT" w:eastAsia="it-IT"/>
        </w:rPr>
        <w:t>m. +39 335 6162642</w:t>
      </w:r>
    </w:p>
    <w:p w14:paraId="0B83D03E" w14:textId="77777777" w:rsidR="000D7A48" w:rsidRPr="000D7A48" w:rsidRDefault="000D7A48" w:rsidP="000D7A48">
      <w:pPr>
        <w:spacing w:before="100" w:beforeAutospacing="1" w:after="100" w:afterAutospacing="1"/>
        <w:contextualSpacing/>
        <w:jc w:val="both"/>
        <w:rPr>
          <w:rFonts w:ascii="Barlow" w:hAnsi="Barlow"/>
        </w:rPr>
      </w:pPr>
    </w:p>
    <w:p w14:paraId="439DE736" w14:textId="446BED6C" w:rsidR="000D7A48" w:rsidRPr="000D7A48" w:rsidRDefault="000D7A48" w:rsidP="000D7A48">
      <w:pPr>
        <w:spacing w:before="100" w:beforeAutospacing="1" w:after="100" w:afterAutospacing="1"/>
        <w:contextualSpacing/>
        <w:jc w:val="both"/>
        <w:rPr>
          <w:rFonts w:ascii="Barlow" w:hAnsi="Barlow"/>
          <w:b/>
          <w:bCs/>
        </w:rPr>
      </w:pPr>
      <w:r w:rsidRPr="000D7A48">
        <w:rPr>
          <w:rFonts w:ascii="Barlow" w:hAnsi="Barlow"/>
          <w:b/>
          <w:bCs/>
        </w:rPr>
        <w:t>IMMAGINI DISPONIBILI</w:t>
      </w:r>
    </w:p>
    <w:p w14:paraId="2BF56651" w14:textId="2A4920B9" w:rsidR="000D7A48" w:rsidRDefault="000D7A48" w:rsidP="000D7A48">
      <w:pPr>
        <w:spacing w:before="100" w:beforeAutospacing="1" w:after="100" w:afterAutospacing="1"/>
        <w:contextualSpacing/>
        <w:jc w:val="both"/>
        <w:rPr>
          <w:rFonts w:ascii="Barlow" w:hAnsi="Barlow"/>
          <w:b/>
          <w:bCs/>
        </w:rPr>
      </w:pPr>
      <w:r w:rsidRPr="000D7A48">
        <w:rPr>
          <w:rFonts w:ascii="Barlow" w:hAnsi="Barlow"/>
          <w:b/>
          <w:bCs/>
          <w:noProof/>
        </w:rPr>
        <w:drawing>
          <wp:inline distT="0" distB="0" distL="0" distR="0" wp14:anchorId="0707FA63" wp14:editId="6C94785B">
            <wp:extent cx="2997723" cy="3745754"/>
            <wp:effectExtent l="0" t="0" r="0" b="1270"/>
            <wp:docPr id="5956803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80376" name="Immagine 595680376"/>
                    <pic:cNvPicPr/>
                  </pic:nvPicPr>
                  <pic:blipFill>
                    <a:blip r:embed="rId7"/>
                    <a:stretch>
                      <a:fillRect/>
                    </a:stretch>
                  </pic:blipFill>
                  <pic:spPr>
                    <a:xfrm>
                      <a:off x="0" y="0"/>
                      <a:ext cx="3069304" cy="3835197"/>
                    </a:xfrm>
                    <a:prstGeom prst="rect">
                      <a:avLst/>
                    </a:prstGeom>
                  </pic:spPr>
                </pic:pic>
              </a:graphicData>
            </a:graphic>
          </wp:inline>
        </w:drawing>
      </w:r>
      <w:r w:rsidRPr="000D7A48">
        <w:rPr>
          <w:rFonts w:ascii="Barlow" w:hAnsi="Barlow"/>
          <w:b/>
          <w:bCs/>
        </w:rPr>
        <w:t xml:space="preserve">  </w:t>
      </w:r>
      <w:r w:rsidRPr="000D7A48">
        <w:rPr>
          <w:rFonts w:ascii="Barlow" w:hAnsi="Barlow"/>
          <w:b/>
          <w:bCs/>
          <w:noProof/>
        </w:rPr>
        <w:drawing>
          <wp:inline distT="0" distB="0" distL="0" distR="0" wp14:anchorId="794CAF97" wp14:editId="6485F508">
            <wp:extent cx="3440496" cy="3721792"/>
            <wp:effectExtent l="0" t="0" r="1270" b="0"/>
            <wp:docPr id="1534527500" name="Immagine 2" descr="Immagine che contiene vestiti, persona, Viso umano, mu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27500" name="Immagine 2" descr="Immagine che contiene vestiti, persona, Viso umano, muro&#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13537" cy="3800805"/>
                    </a:xfrm>
                    <a:prstGeom prst="rect">
                      <a:avLst/>
                    </a:prstGeom>
                  </pic:spPr>
                </pic:pic>
              </a:graphicData>
            </a:graphic>
          </wp:inline>
        </w:drawing>
      </w:r>
    </w:p>
    <w:p w14:paraId="09ABDE75" w14:textId="77777777" w:rsidR="000D7A48" w:rsidRPr="000D7A48" w:rsidRDefault="000D7A48" w:rsidP="000D7A48">
      <w:pPr>
        <w:spacing w:before="100" w:beforeAutospacing="1" w:after="100" w:afterAutospacing="1"/>
        <w:contextualSpacing/>
        <w:jc w:val="both"/>
        <w:rPr>
          <w:rFonts w:ascii="Barlow" w:hAnsi="Barlow"/>
          <w:b/>
          <w:bCs/>
        </w:rPr>
      </w:pPr>
    </w:p>
    <w:p w14:paraId="00630487" w14:textId="77777777" w:rsidR="000D7A48" w:rsidRPr="000D7A48" w:rsidRDefault="000D7A48" w:rsidP="000D7A48">
      <w:pPr>
        <w:spacing w:before="100" w:beforeAutospacing="1" w:after="100" w:afterAutospacing="1"/>
        <w:contextualSpacing/>
        <w:jc w:val="both"/>
        <w:rPr>
          <w:rFonts w:ascii="Barlow" w:hAnsi="Barlow"/>
          <w:b/>
          <w:bCs/>
        </w:rPr>
      </w:pPr>
      <w:r w:rsidRPr="000D7A48">
        <w:rPr>
          <w:rFonts w:ascii="Barlow" w:hAnsi="Barlow"/>
          <w:b/>
          <w:bCs/>
          <w:noProof/>
        </w:rPr>
        <w:drawing>
          <wp:inline distT="0" distB="0" distL="0" distR="0" wp14:anchorId="2B9F9D03" wp14:editId="57003C97">
            <wp:extent cx="6482368" cy="3646080"/>
            <wp:effectExtent l="12700" t="12700" r="7620" b="12065"/>
            <wp:docPr id="558238013" name="Immagine 3" descr="Immagine che contiene testo, schermat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38013" name="Immagine 3" descr="Immagine che contiene testo, schermata, design&#10;&#10;Il contenuto generato dall'IA potrebbe non essere corretto."/>
                    <pic:cNvPicPr/>
                  </pic:nvPicPr>
                  <pic:blipFill>
                    <a:blip r:embed="rId9">
                      <a:extLst>
                        <a:ext uri="{28A0092B-C50C-407E-A947-70E740481C1C}">
                          <a14:useLocalDpi xmlns:a14="http://schemas.microsoft.com/office/drawing/2010/main" val="0"/>
                        </a:ext>
                      </a:extLst>
                    </a:blip>
                    <a:stretch>
                      <a:fillRect/>
                    </a:stretch>
                  </pic:blipFill>
                  <pic:spPr>
                    <a:xfrm>
                      <a:off x="0" y="0"/>
                      <a:ext cx="6499995" cy="3655994"/>
                    </a:xfrm>
                    <a:prstGeom prst="rect">
                      <a:avLst/>
                    </a:prstGeom>
                    <a:ln w="3175">
                      <a:solidFill>
                        <a:srgbClr val="0F243E"/>
                      </a:solidFill>
                    </a:ln>
                  </pic:spPr>
                </pic:pic>
              </a:graphicData>
            </a:graphic>
          </wp:inline>
        </w:drawing>
      </w:r>
    </w:p>
    <w:p w14:paraId="71B14D03" w14:textId="77777777" w:rsidR="000D7A48" w:rsidRPr="000D7A48" w:rsidRDefault="000D7A48" w:rsidP="000D7A48">
      <w:pPr>
        <w:spacing w:before="100" w:beforeAutospacing="1" w:after="100" w:afterAutospacing="1"/>
        <w:contextualSpacing/>
        <w:jc w:val="both"/>
        <w:rPr>
          <w:rFonts w:ascii="Barlow" w:hAnsi="Barlow"/>
          <w:b/>
          <w:bCs/>
        </w:rPr>
      </w:pPr>
      <w:r w:rsidRPr="000D7A48">
        <w:rPr>
          <w:rFonts w:ascii="Barlow" w:hAnsi="Barlow"/>
          <w:b/>
          <w:bCs/>
          <w:noProof/>
        </w:rPr>
        <w:lastRenderedPageBreak/>
        <w:drawing>
          <wp:inline distT="0" distB="0" distL="0" distR="0" wp14:anchorId="1FE4DB87" wp14:editId="7ED8F6EE">
            <wp:extent cx="6435234" cy="3623575"/>
            <wp:effectExtent l="12700" t="12700" r="16510" b="8890"/>
            <wp:docPr id="431939647" name="Immagine 4" descr="Immagine che contiene testo, schermat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39647" name="Immagine 4" descr="Immagine che contiene testo, schermata, design&#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43901" cy="3628455"/>
                    </a:xfrm>
                    <a:prstGeom prst="rect">
                      <a:avLst/>
                    </a:prstGeom>
                    <a:ln w="3175">
                      <a:solidFill>
                        <a:srgbClr val="0F243E"/>
                      </a:solidFill>
                    </a:ln>
                  </pic:spPr>
                </pic:pic>
              </a:graphicData>
            </a:graphic>
          </wp:inline>
        </w:drawing>
      </w:r>
    </w:p>
    <w:p w14:paraId="39E45F1B" w14:textId="77777777" w:rsidR="000D7A48" w:rsidRPr="000D7A48" w:rsidRDefault="000D7A48" w:rsidP="000D7A48">
      <w:pPr>
        <w:spacing w:before="100" w:beforeAutospacing="1" w:after="100" w:afterAutospacing="1"/>
        <w:contextualSpacing/>
        <w:jc w:val="both"/>
        <w:rPr>
          <w:rFonts w:ascii="Barlow" w:hAnsi="Barlow"/>
          <w:b/>
          <w:bCs/>
        </w:rPr>
      </w:pPr>
    </w:p>
    <w:p w14:paraId="09216FFF" w14:textId="77777777" w:rsidR="000D7A48" w:rsidRPr="000D7A48" w:rsidRDefault="000D7A48" w:rsidP="000D7A48">
      <w:pPr>
        <w:spacing w:before="100" w:beforeAutospacing="1" w:after="100" w:afterAutospacing="1"/>
        <w:contextualSpacing/>
        <w:jc w:val="both"/>
        <w:rPr>
          <w:rFonts w:ascii="Barlow" w:hAnsi="Barlow"/>
          <w:b/>
          <w:bCs/>
        </w:rPr>
      </w:pPr>
      <w:r w:rsidRPr="000D7A48">
        <w:rPr>
          <w:rFonts w:ascii="Barlow" w:hAnsi="Barlow"/>
          <w:b/>
          <w:bCs/>
          <w:noProof/>
        </w:rPr>
        <w:drawing>
          <wp:inline distT="0" distB="0" distL="0" distR="0" wp14:anchorId="40203999" wp14:editId="0D7C9125">
            <wp:extent cx="6435090" cy="3623494"/>
            <wp:effectExtent l="12700" t="12700" r="16510" b="8890"/>
            <wp:docPr id="918357622" name="Immagine 5" descr="Immagine che contiene test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57622" name="Immagine 5" descr="Immagine che contiene testo, schermata&#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42663" cy="3627758"/>
                    </a:xfrm>
                    <a:prstGeom prst="rect">
                      <a:avLst/>
                    </a:prstGeom>
                    <a:ln w="3175">
                      <a:solidFill>
                        <a:srgbClr val="0F243E"/>
                      </a:solidFill>
                    </a:ln>
                  </pic:spPr>
                </pic:pic>
              </a:graphicData>
            </a:graphic>
          </wp:inline>
        </w:drawing>
      </w:r>
    </w:p>
    <w:p w14:paraId="62D22D4D" w14:textId="77777777" w:rsidR="000D7A48" w:rsidRPr="000D7A48" w:rsidRDefault="000D7A48" w:rsidP="000D7A48">
      <w:pPr>
        <w:spacing w:before="100" w:beforeAutospacing="1" w:after="100" w:afterAutospacing="1"/>
        <w:contextualSpacing/>
        <w:jc w:val="both"/>
        <w:rPr>
          <w:rFonts w:ascii="Barlow" w:hAnsi="Barlow"/>
          <w:b/>
          <w:bCs/>
        </w:rPr>
      </w:pPr>
      <w:r w:rsidRPr="000D7A48">
        <w:rPr>
          <w:rFonts w:ascii="Barlow" w:hAnsi="Barlow"/>
          <w:b/>
          <w:bCs/>
          <w:noProof/>
        </w:rPr>
        <w:lastRenderedPageBreak/>
        <w:drawing>
          <wp:inline distT="0" distB="0" distL="0" distR="0" wp14:anchorId="7235DF53" wp14:editId="31C5D4AC">
            <wp:extent cx="6472941" cy="3644807"/>
            <wp:effectExtent l="12700" t="12700" r="17145" b="13335"/>
            <wp:docPr id="1598484049" name="Immagine 6" descr="Immagine che contiene vestiti, testo, calzature, biglietto da visi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84049" name="Immagine 6" descr="Immagine che contiene vestiti, testo, calzature, biglietto da visita&#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032" cy="3653867"/>
                    </a:xfrm>
                    <a:prstGeom prst="rect">
                      <a:avLst/>
                    </a:prstGeom>
                    <a:ln w="3175">
                      <a:solidFill>
                        <a:srgbClr val="0F243E"/>
                      </a:solidFill>
                    </a:ln>
                  </pic:spPr>
                </pic:pic>
              </a:graphicData>
            </a:graphic>
          </wp:inline>
        </w:drawing>
      </w:r>
    </w:p>
    <w:p w14:paraId="3420CE7F" w14:textId="77777777" w:rsidR="000D7A48" w:rsidRPr="000D7A48" w:rsidRDefault="000D7A48" w:rsidP="000D7A48">
      <w:pPr>
        <w:spacing w:before="100" w:beforeAutospacing="1" w:after="100" w:afterAutospacing="1"/>
        <w:contextualSpacing/>
        <w:jc w:val="both"/>
        <w:rPr>
          <w:rFonts w:ascii="Barlow" w:hAnsi="Barlow"/>
          <w:b/>
          <w:bCs/>
        </w:rPr>
      </w:pPr>
    </w:p>
    <w:p w14:paraId="699EAAB6" w14:textId="77777777" w:rsidR="000D7A48" w:rsidRPr="000D7A48" w:rsidRDefault="000D7A48" w:rsidP="000D7A48">
      <w:pPr>
        <w:spacing w:before="100" w:beforeAutospacing="1" w:after="100" w:afterAutospacing="1"/>
        <w:contextualSpacing/>
        <w:jc w:val="both"/>
        <w:rPr>
          <w:rFonts w:ascii="Barlow" w:hAnsi="Barlow"/>
          <w:b/>
          <w:bCs/>
        </w:rPr>
      </w:pPr>
      <w:r w:rsidRPr="000D7A48">
        <w:rPr>
          <w:rFonts w:ascii="Barlow" w:hAnsi="Barlow"/>
          <w:b/>
          <w:bCs/>
          <w:noProof/>
        </w:rPr>
        <w:drawing>
          <wp:inline distT="0" distB="0" distL="0" distR="0" wp14:anchorId="0B3AEF01" wp14:editId="42B1959F">
            <wp:extent cx="6472555" cy="3644590"/>
            <wp:effectExtent l="12700" t="12700" r="17145" b="13335"/>
            <wp:docPr id="1678547204" name="Immagine 7" descr="Immagine che contiene testo, vestiti, person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547204" name="Immagine 7" descr="Immagine che contiene testo, vestiti, persona, schermata&#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3757" cy="3650898"/>
                    </a:xfrm>
                    <a:prstGeom prst="rect">
                      <a:avLst/>
                    </a:prstGeom>
                    <a:ln w="3175">
                      <a:solidFill>
                        <a:srgbClr val="0F243E"/>
                      </a:solidFill>
                    </a:ln>
                  </pic:spPr>
                </pic:pic>
              </a:graphicData>
            </a:graphic>
          </wp:inline>
        </w:drawing>
      </w:r>
    </w:p>
    <w:sectPr w:rsidR="000D7A48" w:rsidRPr="000D7A48" w:rsidSect="000D7A48">
      <w:headerReference w:type="default" r:id="rId14"/>
      <w:footerReference w:type="default" r:id="rId15"/>
      <w:pgSz w:w="11906" w:h="16838"/>
      <w:pgMar w:top="1134" w:right="707" w:bottom="946" w:left="708" w:header="329"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F5945" w14:textId="77777777" w:rsidR="009D02FD" w:rsidRDefault="009D02FD">
      <w:r>
        <w:separator/>
      </w:r>
    </w:p>
  </w:endnote>
  <w:endnote w:type="continuationSeparator" w:id="0">
    <w:p w14:paraId="7642F466" w14:textId="77777777" w:rsidR="009D02FD" w:rsidRDefault="009D0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Barlow">
    <w:panose1 w:val="000005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NeueHaasGroteskDisp Std">
    <w:altName w:val="Cambria"/>
    <w:panose1 w:val="020B0604020202020204"/>
    <w:charset w:val="00"/>
    <w:family w:val="roman"/>
    <w:pitch w:val="default"/>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0316" w14:textId="77777777" w:rsidR="009E1899" w:rsidRDefault="00000000">
    <w:pPr>
      <w:pStyle w:val="Intestazioneepidipagina"/>
      <w:tabs>
        <w:tab w:val="clear" w:pos="9020"/>
        <w:tab w:val="center" w:pos="4819"/>
        <w:tab w:val="right" w:pos="9638"/>
      </w:tabs>
    </w:pPr>
    <w:r>
      <w:rPr>
        <w:rFonts w:ascii="Avenir Book" w:eastAsia="Avenir Book" w:hAnsi="Avenir Book" w:cs="Avenir Book"/>
        <w:sz w:val="18"/>
        <w:szCs w:val="18"/>
      </w:rPr>
      <w:tab/>
    </w:r>
    <w:r>
      <w:rPr>
        <w:rFonts w:ascii="Avenir Book" w:hAnsi="Avenir Book"/>
        <w:sz w:val="18"/>
        <w:szCs w:val="18"/>
      </w:rPr>
      <w:t>L’Accademia dello Showroom è un marchio Upstairs S.r.l.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84FB4" w14:textId="77777777" w:rsidR="009D02FD" w:rsidRDefault="009D02FD">
      <w:r>
        <w:separator/>
      </w:r>
    </w:p>
  </w:footnote>
  <w:footnote w:type="continuationSeparator" w:id="0">
    <w:p w14:paraId="443EE64B" w14:textId="77777777" w:rsidR="009D02FD" w:rsidRDefault="009D0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3FDF" w14:textId="23F552BE" w:rsidR="009E1899" w:rsidRDefault="00973E76" w:rsidP="00222EF6">
    <w:pPr>
      <w:pStyle w:val="Intestazioneepidipagina"/>
      <w:tabs>
        <w:tab w:val="clear" w:pos="9020"/>
        <w:tab w:val="center" w:pos="4819"/>
        <w:tab w:val="right" w:pos="9638"/>
      </w:tabs>
      <w:spacing w:after="80"/>
    </w:pPr>
    <w:r>
      <w:rPr>
        <w:rFonts w:ascii="NeueHaasGroteskDisp Std" w:eastAsia="NeueHaasGroteskDisp Std" w:hAnsi="NeueHaasGroteskDisp Std" w:cs="NeueHaasGroteskDisp Std"/>
        <w:sz w:val="22"/>
        <w:szCs w:val="22"/>
        <w:u w:color="000000"/>
      </w:rPr>
      <w:tab/>
    </w:r>
    <w:r>
      <w:rPr>
        <w:rFonts w:ascii="NeueHaasGroteskDisp Std" w:eastAsia="NeueHaasGroteskDisp Std" w:hAnsi="NeueHaasGroteskDisp Std" w:cs="NeueHaasGroteskDisp Std"/>
        <w:sz w:val="22"/>
        <w:szCs w:val="22"/>
        <w:u w:color="000000"/>
      </w:rPr>
      <w:tab/>
    </w:r>
    <w:r>
      <w:rPr>
        <w:rFonts w:eastAsia="Helvetica Neue" w:cs="Helvetica Neue"/>
        <w:noProof/>
        <w:u w:color="000000"/>
      </w:rPr>
      <w:drawing>
        <wp:inline distT="0" distB="0" distL="0" distR="0" wp14:anchorId="5520957F" wp14:editId="66F8CB7B">
          <wp:extent cx="1684866" cy="614469"/>
          <wp:effectExtent l="0" t="0" r="4445" b="0"/>
          <wp:docPr id="1073741825" name="officeArt object" descr="Logo.png"/>
          <wp:cNvGraphicFramePr/>
          <a:graphic xmlns:a="http://schemas.openxmlformats.org/drawingml/2006/main">
            <a:graphicData uri="http://schemas.openxmlformats.org/drawingml/2006/picture">
              <pic:pic xmlns:pic="http://schemas.openxmlformats.org/drawingml/2006/picture">
                <pic:nvPicPr>
                  <pic:cNvPr id="1073741825" name="Logo.png" descr="Logo.png"/>
                  <pic:cNvPicPr>
                    <a:picLocks noChangeAspect="1"/>
                  </pic:cNvPicPr>
                </pic:nvPicPr>
                <pic:blipFill>
                  <a:blip r:embed="rId1"/>
                  <a:srcRect l="3908" t="29212" r="3908" b="29212"/>
                  <a:stretch>
                    <a:fillRect/>
                  </a:stretch>
                </pic:blipFill>
                <pic:spPr>
                  <a:xfrm>
                    <a:off x="0" y="0"/>
                    <a:ext cx="1711012" cy="624005"/>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8E6"/>
    <w:multiLevelType w:val="multilevel"/>
    <w:tmpl w:val="07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A250D"/>
    <w:multiLevelType w:val="hybridMultilevel"/>
    <w:tmpl w:val="8F309F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46250"/>
    <w:multiLevelType w:val="multilevel"/>
    <w:tmpl w:val="D9B81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E625A1"/>
    <w:multiLevelType w:val="hybridMultilevel"/>
    <w:tmpl w:val="94004C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94696056">
    <w:abstractNumId w:val="2"/>
  </w:num>
  <w:num w:numId="2" w16cid:durableId="1238369711">
    <w:abstractNumId w:val="3"/>
  </w:num>
  <w:num w:numId="3" w16cid:durableId="1577397226">
    <w:abstractNumId w:val="0"/>
  </w:num>
  <w:num w:numId="4" w16cid:durableId="1371758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899"/>
    <w:rsid w:val="00022F3B"/>
    <w:rsid w:val="0004507C"/>
    <w:rsid w:val="000514B0"/>
    <w:rsid w:val="00053D37"/>
    <w:rsid w:val="00097B1A"/>
    <w:rsid w:val="000B73DF"/>
    <w:rsid w:val="000D7A48"/>
    <w:rsid w:val="000E2694"/>
    <w:rsid w:val="001E60E3"/>
    <w:rsid w:val="001F0E2B"/>
    <w:rsid w:val="001F310D"/>
    <w:rsid w:val="002133E4"/>
    <w:rsid w:val="00213FC1"/>
    <w:rsid w:val="00222EF6"/>
    <w:rsid w:val="00224337"/>
    <w:rsid w:val="00243DE2"/>
    <w:rsid w:val="00255F12"/>
    <w:rsid w:val="00256EA7"/>
    <w:rsid w:val="00261B11"/>
    <w:rsid w:val="00264C26"/>
    <w:rsid w:val="002831F1"/>
    <w:rsid w:val="002A0F74"/>
    <w:rsid w:val="002B76E3"/>
    <w:rsid w:val="00355963"/>
    <w:rsid w:val="00366FEB"/>
    <w:rsid w:val="003E3192"/>
    <w:rsid w:val="00426526"/>
    <w:rsid w:val="004F0C0C"/>
    <w:rsid w:val="004F1562"/>
    <w:rsid w:val="004F2750"/>
    <w:rsid w:val="00515CD4"/>
    <w:rsid w:val="00520E2A"/>
    <w:rsid w:val="005467E2"/>
    <w:rsid w:val="00576A4B"/>
    <w:rsid w:val="005E1F00"/>
    <w:rsid w:val="005F554A"/>
    <w:rsid w:val="00624D90"/>
    <w:rsid w:val="00640DB7"/>
    <w:rsid w:val="00692F7F"/>
    <w:rsid w:val="006A559E"/>
    <w:rsid w:val="00705CE5"/>
    <w:rsid w:val="00742EDF"/>
    <w:rsid w:val="00755F2A"/>
    <w:rsid w:val="00801327"/>
    <w:rsid w:val="00807152"/>
    <w:rsid w:val="0083631B"/>
    <w:rsid w:val="008560F8"/>
    <w:rsid w:val="00863411"/>
    <w:rsid w:val="00877C2C"/>
    <w:rsid w:val="008B54B0"/>
    <w:rsid w:val="008E3796"/>
    <w:rsid w:val="008F02C7"/>
    <w:rsid w:val="00926F9A"/>
    <w:rsid w:val="009460EC"/>
    <w:rsid w:val="00973E76"/>
    <w:rsid w:val="009A48E7"/>
    <w:rsid w:val="009D02FD"/>
    <w:rsid w:val="009E1899"/>
    <w:rsid w:val="00A34603"/>
    <w:rsid w:val="00AE06D6"/>
    <w:rsid w:val="00B259F2"/>
    <w:rsid w:val="00B35B5B"/>
    <w:rsid w:val="00B51943"/>
    <w:rsid w:val="00B54F9B"/>
    <w:rsid w:val="00B67148"/>
    <w:rsid w:val="00B80DEB"/>
    <w:rsid w:val="00BE0CBA"/>
    <w:rsid w:val="00C60B55"/>
    <w:rsid w:val="00C63BF9"/>
    <w:rsid w:val="00C66FE2"/>
    <w:rsid w:val="00C67455"/>
    <w:rsid w:val="00CB677E"/>
    <w:rsid w:val="00D05BC4"/>
    <w:rsid w:val="00D841CC"/>
    <w:rsid w:val="00D8500B"/>
    <w:rsid w:val="00D944DB"/>
    <w:rsid w:val="00DA042B"/>
    <w:rsid w:val="00DA5B81"/>
    <w:rsid w:val="00DC0D2A"/>
    <w:rsid w:val="00E04C6A"/>
    <w:rsid w:val="00E14122"/>
    <w:rsid w:val="00E45B35"/>
    <w:rsid w:val="00E47064"/>
    <w:rsid w:val="00EF7548"/>
    <w:rsid w:val="00F11356"/>
    <w:rsid w:val="00F20096"/>
    <w:rsid w:val="00F60222"/>
    <w:rsid w:val="00FE5F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3D4B"/>
  <w15:docId w15:val="{78709B7C-6AD7-9647-A39F-3FE2FECC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222EF6"/>
    <w:pPr>
      <w:tabs>
        <w:tab w:val="center" w:pos="4819"/>
        <w:tab w:val="right" w:pos="9638"/>
      </w:tabs>
    </w:pPr>
  </w:style>
  <w:style w:type="character" w:customStyle="1" w:styleId="IntestazioneCarattere">
    <w:name w:val="Intestazione Carattere"/>
    <w:basedOn w:val="Carpredefinitoparagrafo"/>
    <w:link w:val="Intestazione"/>
    <w:uiPriority w:val="99"/>
    <w:rsid w:val="00222EF6"/>
    <w:rPr>
      <w:sz w:val="24"/>
      <w:szCs w:val="24"/>
      <w:lang w:val="en-US" w:eastAsia="en-US"/>
    </w:rPr>
  </w:style>
  <w:style w:type="paragraph" w:styleId="Pidipagina">
    <w:name w:val="footer"/>
    <w:basedOn w:val="Normale"/>
    <w:link w:val="PidipaginaCarattere"/>
    <w:uiPriority w:val="99"/>
    <w:unhideWhenUsed/>
    <w:rsid w:val="00222EF6"/>
    <w:pPr>
      <w:tabs>
        <w:tab w:val="center" w:pos="4819"/>
        <w:tab w:val="right" w:pos="9638"/>
      </w:tabs>
    </w:pPr>
  </w:style>
  <w:style w:type="character" w:customStyle="1" w:styleId="PidipaginaCarattere">
    <w:name w:val="Piè di pagina Carattere"/>
    <w:basedOn w:val="Carpredefinitoparagrafo"/>
    <w:link w:val="Pidipagina"/>
    <w:uiPriority w:val="99"/>
    <w:rsid w:val="00222EF6"/>
    <w:rPr>
      <w:sz w:val="24"/>
      <w:szCs w:val="24"/>
      <w:lang w:val="en-US" w:eastAsia="en-US"/>
    </w:rPr>
  </w:style>
  <w:style w:type="paragraph" w:styleId="Paragrafoelenco">
    <w:name w:val="List Paragraph"/>
    <w:basedOn w:val="Normale"/>
    <w:uiPriority w:val="34"/>
    <w:qFormat/>
    <w:rsid w:val="00705CE5"/>
    <w:pPr>
      <w:ind w:left="720"/>
      <w:contextualSpacing/>
    </w:pPr>
  </w:style>
  <w:style w:type="paragraph" w:styleId="NormaleWeb">
    <w:name w:val="Normal (Web)"/>
    <w:basedOn w:val="Normale"/>
    <w:uiPriority w:val="99"/>
    <w:semiHidden/>
    <w:unhideWhenUsed/>
    <w:rsid w:val="00256EA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styleId="Enfasigrassetto">
    <w:name w:val="Strong"/>
    <w:basedOn w:val="Carpredefinitoparagrafo"/>
    <w:uiPriority w:val="22"/>
    <w:qFormat/>
    <w:rsid w:val="002B76E3"/>
    <w:rPr>
      <w:b/>
      <w:bCs/>
    </w:rPr>
  </w:style>
  <w:style w:type="character" w:styleId="Enfasicorsivo">
    <w:name w:val="Emphasis"/>
    <w:basedOn w:val="Carpredefinitoparagrafo"/>
    <w:uiPriority w:val="20"/>
    <w:qFormat/>
    <w:rsid w:val="001F310D"/>
    <w:rPr>
      <w:i/>
      <w:iCs/>
    </w:rPr>
  </w:style>
  <w:style w:type="paragraph" w:styleId="Revisione">
    <w:name w:val="Revision"/>
    <w:hidden/>
    <w:uiPriority w:val="99"/>
    <w:semiHidden/>
    <w:rsid w:val="00264C2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Rimandocommento">
    <w:name w:val="annotation reference"/>
    <w:basedOn w:val="Carpredefinitoparagrafo"/>
    <w:uiPriority w:val="99"/>
    <w:semiHidden/>
    <w:unhideWhenUsed/>
    <w:rsid w:val="00264C26"/>
    <w:rPr>
      <w:sz w:val="16"/>
      <w:szCs w:val="16"/>
    </w:rPr>
  </w:style>
  <w:style w:type="paragraph" w:styleId="Testocommento">
    <w:name w:val="annotation text"/>
    <w:basedOn w:val="Normale"/>
    <w:link w:val="TestocommentoCarattere"/>
    <w:uiPriority w:val="99"/>
    <w:semiHidden/>
    <w:unhideWhenUsed/>
    <w:rsid w:val="00264C26"/>
    <w:rPr>
      <w:sz w:val="20"/>
      <w:szCs w:val="20"/>
    </w:rPr>
  </w:style>
  <w:style w:type="character" w:customStyle="1" w:styleId="TestocommentoCarattere">
    <w:name w:val="Testo commento Carattere"/>
    <w:basedOn w:val="Carpredefinitoparagrafo"/>
    <w:link w:val="Testocommento"/>
    <w:uiPriority w:val="99"/>
    <w:semiHidden/>
    <w:rsid w:val="00264C26"/>
    <w:rPr>
      <w:lang w:val="en-US" w:eastAsia="en-US"/>
    </w:rPr>
  </w:style>
  <w:style w:type="paragraph" w:styleId="Soggettocommento">
    <w:name w:val="annotation subject"/>
    <w:basedOn w:val="Testocommento"/>
    <w:next w:val="Testocommento"/>
    <w:link w:val="SoggettocommentoCarattere"/>
    <w:uiPriority w:val="99"/>
    <w:semiHidden/>
    <w:unhideWhenUsed/>
    <w:rsid w:val="00264C26"/>
    <w:rPr>
      <w:b/>
      <w:bCs/>
    </w:rPr>
  </w:style>
  <w:style w:type="character" w:customStyle="1" w:styleId="SoggettocommentoCarattere">
    <w:name w:val="Soggetto commento Carattere"/>
    <w:basedOn w:val="TestocommentoCarattere"/>
    <w:link w:val="Soggettocommento"/>
    <w:uiPriority w:val="99"/>
    <w:semiHidden/>
    <w:rsid w:val="00264C2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460</Words>
  <Characters>3281</Characters>
  <Application>Microsoft Office Word</Application>
  <DocSecurity>0</DocSecurity>
  <Lines>131</Lines>
  <Paragraphs>113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Giuseppe Turatti</cp:lastModifiedBy>
  <cp:revision>3</cp:revision>
  <dcterms:created xsi:type="dcterms:W3CDTF">2026-07-09T12:33:00Z</dcterms:created>
  <dcterms:modified xsi:type="dcterms:W3CDTF">2026-07-09T12:46:00Z</dcterms:modified>
</cp:coreProperties>
</file>